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微软雅黑" w:hAnsi="微软雅黑" w:eastAsia="微软雅黑" w:cs="Times New Roman"/>
          <w:b/>
          <w:bCs/>
          <w:color w:val="000000"/>
          <w:kern w:val="36"/>
          <w:sz w:val="44"/>
          <w:szCs w:val="44"/>
        </w:rPr>
      </w:pPr>
    </w:p>
    <w:p>
      <w:pPr>
        <w:jc w:val="center"/>
        <w:rPr>
          <w:rFonts w:ascii="微软雅黑" w:hAnsi="微软雅黑" w:eastAsia="微软雅黑" w:cs="Times New Roman"/>
          <w:b/>
          <w:bCs/>
          <w:color w:val="000000"/>
          <w:kern w:val="36"/>
          <w:sz w:val="44"/>
          <w:szCs w:val="44"/>
        </w:rPr>
      </w:pPr>
    </w:p>
    <w:p>
      <w:pPr>
        <w:jc w:val="center"/>
        <w:rPr>
          <w:rFonts w:hint="default" w:ascii="方正小标宋简体" w:hAnsi="微软雅黑" w:eastAsia="方正小标宋简体" w:cs="Times New Roman"/>
          <w:color w:val="000000"/>
          <w:kern w:val="36"/>
          <w:sz w:val="44"/>
          <w:szCs w:val="44"/>
          <w:lang w:val="en-US" w:eastAsia="zh-CN"/>
        </w:rPr>
      </w:pPr>
      <w:r>
        <w:rPr>
          <w:rFonts w:hint="eastAsia" w:ascii="方正小标宋简体" w:hAnsi="微软雅黑" w:eastAsia="方正小标宋简体" w:cs="方正小标宋简体"/>
          <w:color w:val="000000"/>
          <w:kern w:val="36"/>
          <w:sz w:val="44"/>
          <w:szCs w:val="44"/>
        </w:rPr>
        <w:t>黑龙江省工程学校</w:t>
      </w:r>
      <w:r>
        <w:rPr>
          <w:rFonts w:hint="eastAsia" w:ascii="方正小标宋简体" w:hAnsi="微软雅黑" w:eastAsia="方正小标宋简体" w:cs="方正小标宋简体"/>
          <w:color w:val="000000"/>
          <w:kern w:val="36"/>
          <w:sz w:val="44"/>
          <w:szCs w:val="44"/>
          <w:lang w:val="en-US" w:eastAsia="zh-CN"/>
        </w:rPr>
        <w:t>2020年度</w:t>
      </w:r>
      <w:bookmarkStart w:id="41" w:name="_GoBack"/>
      <w:bookmarkEnd w:id="41"/>
    </w:p>
    <w:p>
      <w:pPr>
        <w:jc w:val="center"/>
        <w:rPr>
          <w:rFonts w:ascii="方正小标宋简体" w:hAnsi="微软雅黑" w:eastAsia="方正小标宋简体" w:cs="Times New Roman"/>
          <w:color w:val="000000"/>
          <w:kern w:val="36"/>
          <w:sz w:val="44"/>
          <w:szCs w:val="44"/>
        </w:rPr>
      </w:pPr>
      <w:r>
        <w:rPr>
          <w:rFonts w:hint="eastAsia" w:ascii="方正小标宋简体" w:hAnsi="微软雅黑" w:eastAsia="方正小标宋简体" w:cs="方正小标宋简体"/>
          <w:color w:val="000000"/>
          <w:kern w:val="36"/>
          <w:sz w:val="44"/>
          <w:szCs w:val="44"/>
        </w:rPr>
        <w:t>中等职业教育质量报告</w:t>
      </w:r>
    </w:p>
    <w:p>
      <w:pPr>
        <w:jc w:val="center"/>
        <w:rPr>
          <w:rFonts w:ascii="微软雅黑" w:hAnsi="微软雅黑" w:eastAsia="微软雅黑" w:cs="Times New Roman"/>
          <w:b/>
          <w:bCs/>
          <w:color w:val="000000"/>
          <w:kern w:val="36"/>
          <w:sz w:val="44"/>
          <w:szCs w:val="44"/>
        </w:rPr>
      </w:pPr>
    </w:p>
    <w:p>
      <w:pPr>
        <w:jc w:val="center"/>
        <w:rPr>
          <w:rFonts w:ascii="微软雅黑" w:hAnsi="微软雅黑" w:eastAsia="微软雅黑" w:cs="Times New Roman"/>
          <w:b/>
          <w:bCs/>
          <w:color w:val="000000"/>
          <w:kern w:val="36"/>
          <w:sz w:val="44"/>
          <w:szCs w:val="44"/>
        </w:rPr>
      </w:pPr>
    </w:p>
    <w:p>
      <w:pPr>
        <w:jc w:val="center"/>
        <w:rPr>
          <w:rFonts w:ascii="微软雅黑" w:hAnsi="微软雅黑" w:eastAsia="微软雅黑" w:cs="Times New Roman"/>
          <w:b/>
          <w:bCs/>
          <w:color w:val="000000"/>
          <w:kern w:val="36"/>
          <w:sz w:val="44"/>
          <w:szCs w:val="44"/>
        </w:rPr>
      </w:pPr>
    </w:p>
    <w:p>
      <w:pPr>
        <w:ind w:firstLine="720" w:firstLineChars="225"/>
        <w:jc w:val="left"/>
        <w:rPr>
          <w:rFonts w:ascii="仿宋_GB2312" w:eastAsia="仿宋_GB2312" w:cs="仿宋_GB2312"/>
          <w:u w:val="single"/>
        </w:rPr>
      </w:pPr>
      <w:r>
        <w:rPr>
          <w:rFonts w:hint="eastAsia" w:ascii="仿宋_GB2312" w:eastAsia="仿宋_GB2312" w:cs="仿宋_GB2312"/>
        </w:rPr>
        <w:t>报</w:t>
      </w:r>
      <w:r>
        <w:rPr>
          <w:rFonts w:ascii="仿宋_GB2312" w:eastAsia="仿宋_GB2312" w:cs="仿宋_GB2312"/>
        </w:rPr>
        <w:t xml:space="preserve"> </w:t>
      </w:r>
      <w:r>
        <w:rPr>
          <w:rFonts w:hint="eastAsia" w:ascii="仿宋_GB2312" w:eastAsia="仿宋_GB2312" w:cs="仿宋_GB2312"/>
        </w:rPr>
        <w:t>送</w:t>
      </w:r>
      <w:r>
        <w:rPr>
          <w:rFonts w:ascii="仿宋_GB2312" w:eastAsia="仿宋_GB2312" w:cs="仿宋_GB2312"/>
        </w:rPr>
        <w:t xml:space="preserve"> </w:t>
      </w:r>
      <w:r>
        <w:rPr>
          <w:rFonts w:hint="eastAsia" w:ascii="仿宋_GB2312" w:eastAsia="仿宋_GB2312" w:cs="仿宋_GB2312"/>
        </w:rPr>
        <w:t>学</w:t>
      </w:r>
      <w:r>
        <w:rPr>
          <w:rFonts w:ascii="仿宋_GB2312" w:eastAsia="仿宋_GB2312" w:cs="仿宋_GB2312"/>
        </w:rPr>
        <w:t xml:space="preserve"> </w:t>
      </w:r>
      <w:r>
        <w:rPr>
          <w:rFonts w:hint="eastAsia" w:ascii="仿宋_GB2312" w:eastAsia="仿宋_GB2312" w:cs="仿宋_GB2312"/>
        </w:rPr>
        <w:t>校</w:t>
      </w:r>
      <w:r>
        <w:rPr>
          <w:rFonts w:ascii="仿宋_GB2312" w:eastAsia="仿宋_GB2312" w:cs="仿宋_GB2312"/>
        </w:rPr>
        <w:t xml:space="preserve"> </w:t>
      </w:r>
      <w:r>
        <w:rPr>
          <w:rFonts w:ascii="仿宋_GB2312" w:eastAsia="仿宋_GB2312" w:cs="仿宋_GB2312"/>
          <w:u w:val="single"/>
        </w:rPr>
        <w:t xml:space="preserve">  </w:t>
      </w:r>
      <w:r>
        <w:rPr>
          <w:rFonts w:hint="eastAsia" w:ascii="仿宋_GB2312" w:eastAsia="仿宋_GB2312" w:cs="仿宋_GB2312"/>
          <w:u w:val="single"/>
        </w:rPr>
        <w:t>黑龙江省工程学校</w:t>
      </w:r>
      <w:r>
        <w:rPr>
          <w:rFonts w:ascii="仿宋_GB2312" w:eastAsia="仿宋_GB2312" w:cs="仿宋_GB2312"/>
          <w:u w:val="single"/>
        </w:rPr>
        <w:t xml:space="preserve">  </w:t>
      </w:r>
      <w:r>
        <w:rPr>
          <w:rFonts w:hint="eastAsia" w:ascii="仿宋_GB2312" w:eastAsia="仿宋_GB2312" w:cs="仿宋_GB2312"/>
          <w:u w:val="single"/>
        </w:rPr>
        <w:t>（盖章）</w:t>
      </w:r>
      <w:r>
        <w:rPr>
          <w:rFonts w:ascii="仿宋_GB2312" w:eastAsia="仿宋_GB2312" w:cs="仿宋_GB2312"/>
          <w:u w:val="single"/>
        </w:rPr>
        <w:t xml:space="preserve">     </w:t>
      </w:r>
    </w:p>
    <w:p>
      <w:pPr>
        <w:ind w:firstLine="720" w:firstLineChars="225"/>
        <w:jc w:val="left"/>
        <w:rPr>
          <w:rFonts w:ascii="仿宋_GB2312" w:eastAsia="仿宋_GB2312" w:cs="仿宋_GB2312"/>
          <w:u w:val="single"/>
        </w:rPr>
      </w:pPr>
      <w:r>
        <w:rPr>
          <w:rFonts w:hint="eastAsia" w:ascii="仿宋_GB2312" w:eastAsia="仿宋_GB2312" w:cs="仿宋_GB2312"/>
        </w:rPr>
        <w:t>主要负责人</w:t>
      </w:r>
      <w:r>
        <w:rPr>
          <w:rFonts w:ascii="仿宋_GB2312" w:eastAsia="仿宋_GB2312" w:cs="仿宋_GB2312"/>
        </w:rPr>
        <w:t xml:space="preserve">  </w:t>
      </w:r>
      <w:r>
        <w:rPr>
          <w:rFonts w:ascii="仿宋_GB2312" w:eastAsia="仿宋_GB2312" w:cs="仿宋_GB2312"/>
          <w:u w:val="single"/>
        </w:rPr>
        <w:t xml:space="preserve">    </w:t>
      </w:r>
      <w:r>
        <w:rPr>
          <w:rFonts w:hint="eastAsia" w:ascii="仿宋_GB2312" w:eastAsia="仿宋_GB2312" w:cs="仿宋_GB2312"/>
          <w:u w:val="single"/>
          <w:lang w:val="en-US" w:eastAsia="zh-CN"/>
        </w:rPr>
        <w:t>王庆杰</w:t>
      </w:r>
      <w:r>
        <w:rPr>
          <w:rFonts w:ascii="仿宋_GB2312" w:eastAsia="仿宋_GB2312" w:cs="仿宋_GB2312"/>
          <w:u w:val="single"/>
        </w:rPr>
        <w:t xml:space="preserve">          </w:t>
      </w:r>
      <w:r>
        <w:rPr>
          <w:rFonts w:hint="eastAsia" w:ascii="仿宋_GB2312" w:eastAsia="仿宋_GB2312" w:cs="仿宋_GB2312"/>
          <w:u w:val="single"/>
          <w:lang w:val="en-US" w:eastAsia="zh-CN"/>
        </w:rPr>
        <w:t xml:space="preserve">        </w:t>
      </w:r>
      <w:r>
        <w:rPr>
          <w:rFonts w:ascii="仿宋_GB2312" w:eastAsia="仿宋_GB2312" w:cs="仿宋_GB2312"/>
          <w:u w:val="single"/>
        </w:rPr>
        <w:t xml:space="preserve">     </w:t>
      </w:r>
    </w:p>
    <w:p>
      <w:pPr>
        <w:ind w:firstLine="720" w:firstLineChars="225"/>
        <w:jc w:val="left"/>
        <w:rPr>
          <w:rFonts w:ascii="仿宋_GB2312" w:eastAsia="仿宋_GB2312" w:cs="仿宋_GB2312"/>
          <w:u w:val="single"/>
        </w:rPr>
      </w:pPr>
      <w:r>
        <w:rPr>
          <w:rFonts w:hint="eastAsia" w:ascii="仿宋_GB2312" w:eastAsia="仿宋_GB2312" w:cs="仿宋_GB2312"/>
        </w:rPr>
        <w:t>数据审核人</w:t>
      </w:r>
      <w:r>
        <w:rPr>
          <w:rFonts w:ascii="仿宋_GB2312" w:eastAsia="仿宋_GB2312" w:cs="仿宋_GB2312"/>
        </w:rPr>
        <w:t xml:space="preserve">  </w:t>
      </w:r>
      <w:r>
        <w:rPr>
          <w:rFonts w:ascii="仿宋_GB2312" w:eastAsia="仿宋_GB2312" w:cs="仿宋_GB2312"/>
          <w:u w:val="single"/>
        </w:rPr>
        <w:t xml:space="preserve">    </w:t>
      </w:r>
      <w:r>
        <w:rPr>
          <w:rFonts w:hint="eastAsia" w:ascii="仿宋_GB2312" w:eastAsia="仿宋_GB2312" w:cs="仿宋_GB2312"/>
          <w:u w:val="single"/>
          <w:lang w:val="en-US" w:eastAsia="zh-CN"/>
        </w:rPr>
        <w:t>贺艳辉</w:t>
      </w:r>
      <w:r>
        <w:rPr>
          <w:rFonts w:ascii="仿宋_GB2312" w:eastAsia="仿宋_GB2312" w:cs="仿宋_GB2312"/>
          <w:u w:val="single"/>
        </w:rPr>
        <w:t xml:space="preserve">          </w:t>
      </w:r>
      <w:r>
        <w:rPr>
          <w:rFonts w:hint="eastAsia" w:ascii="仿宋_GB2312" w:eastAsia="仿宋_GB2312" w:cs="仿宋_GB2312"/>
          <w:u w:val="single"/>
          <w:lang w:val="en-US" w:eastAsia="zh-CN"/>
        </w:rPr>
        <w:t xml:space="preserve">         </w:t>
      </w:r>
      <w:r>
        <w:rPr>
          <w:rFonts w:ascii="仿宋_GB2312" w:eastAsia="仿宋_GB2312" w:cs="仿宋_GB2312"/>
          <w:u w:val="single"/>
        </w:rPr>
        <w:t xml:space="preserve">    </w:t>
      </w:r>
    </w:p>
    <w:p>
      <w:pPr>
        <w:ind w:firstLine="720" w:firstLineChars="225"/>
        <w:jc w:val="left"/>
        <w:rPr>
          <w:rFonts w:ascii="仿宋_GB2312" w:eastAsia="仿宋_GB2312" w:cs="Times New Roman"/>
        </w:rPr>
      </w:pPr>
      <w:r>
        <w:rPr>
          <w:rFonts w:hint="eastAsia" w:ascii="仿宋_GB2312" w:eastAsia="仿宋_GB2312" w:cs="仿宋_GB2312"/>
        </w:rPr>
        <w:t>联</w:t>
      </w:r>
      <w:r>
        <w:rPr>
          <w:rFonts w:ascii="仿宋_GB2312" w:eastAsia="仿宋_GB2312" w:cs="仿宋_GB2312"/>
        </w:rPr>
        <w:t xml:space="preserve">  </w:t>
      </w:r>
      <w:r>
        <w:rPr>
          <w:rFonts w:hint="eastAsia" w:ascii="仿宋_GB2312" w:eastAsia="仿宋_GB2312" w:cs="仿宋_GB2312"/>
        </w:rPr>
        <w:t>系</w:t>
      </w:r>
      <w:r>
        <w:rPr>
          <w:rFonts w:ascii="仿宋_GB2312" w:eastAsia="仿宋_GB2312" w:cs="仿宋_GB2312"/>
        </w:rPr>
        <w:t xml:space="preserve">  </w:t>
      </w:r>
      <w:r>
        <w:rPr>
          <w:rFonts w:hint="eastAsia" w:ascii="仿宋_GB2312" w:eastAsia="仿宋_GB2312" w:cs="仿宋_GB2312"/>
        </w:rPr>
        <w:t>人</w:t>
      </w:r>
      <w:r>
        <w:rPr>
          <w:rFonts w:ascii="仿宋_GB2312" w:eastAsia="仿宋_GB2312" w:cs="仿宋_GB2312"/>
        </w:rPr>
        <w:t xml:space="preserve">  </w:t>
      </w:r>
      <w:r>
        <w:rPr>
          <w:rFonts w:ascii="仿宋_GB2312" w:eastAsia="仿宋_GB2312" w:cs="仿宋_GB2312"/>
          <w:u w:val="single"/>
        </w:rPr>
        <w:t xml:space="preserve">    </w:t>
      </w:r>
      <w:r>
        <w:rPr>
          <w:rFonts w:hint="eastAsia" w:ascii="仿宋_GB2312" w:eastAsia="仿宋_GB2312" w:cs="仿宋_GB2312"/>
          <w:u w:val="single"/>
          <w:lang w:val="en-US" w:eastAsia="zh-CN"/>
        </w:rPr>
        <w:t>贺艳辉</w:t>
      </w:r>
      <w:r>
        <w:rPr>
          <w:rFonts w:ascii="仿宋_GB2312" w:eastAsia="仿宋_GB2312" w:cs="仿宋_GB2312"/>
          <w:u w:val="single"/>
        </w:rPr>
        <w:t xml:space="preserve">                       </w:t>
      </w:r>
    </w:p>
    <w:p>
      <w:pPr>
        <w:ind w:firstLine="720" w:firstLineChars="225"/>
        <w:jc w:val="left"/>
        <w:rPr>
          <w:rFonts w:hint="eastAsia" w:ascii="仿宋_GB2312" w:eastAsia="仿宋_GB2312" w:cs="仿宋_GB2312"/>
          <w:u w:val="single"/>
          <w:lang w:val="en-US" w:eastAsia="zh-CN"/>
        </w:rPr>
      </w:pPr>
      <w:r>
        <w:rPr>
          <w:rFonts w:hint="eastAsia" w:ascii="仿宋_GB2312" w:eastAsia="仿宋_GB2312" w:cs="仿宋_GB2312"/>
        </w:rPr>
        <w:t>联系方式</w:t>
      </w:r>
      <w:r>
        <w:rPr>
          <w:rFonts w:ascii="仿宋_GB2312" w:eastAsia="仿宋_GB2312" w:cs="仿宋_GB2312"/>
        </w:rPr>
        <w:t xml:space="preserve">   </w:t>
      </w:r>
      <w:r>
        <w:rPr>
          <w:rFonts w:ascii="仿宋_GB2312" w:eastAsia="仿宋_GB2312" w:cs="仿宋_GB2312"/>
          <w:u w:val="single"/>
        </w:rPr>
        <w:t xml:space="preserve">     </w:t>
      </w:r>
      <w:r>
        <w:rPr>
          <w:rFonts w:hint="eastAsia" w:ascii="仿宋_GB2312" w:eastAsia="仿宋_GB2312" w:cs="仿宋_GB2312"/>
          <w:u w:val="single"/>
          <w:lang w:val="en-US" w:eastAsia="zh-CN"/>
        </w:rPr>
        <w:t>15331884524</w:t>
      </w:r>
      <w:r>
        <w:rPr>
          <w:rFonts w:ascii="仿宋_GB2312" w:eastAsia="仿宋_GB2312" w:cs="仿宋_GB2312"/>
          <w:u w:val="single"/>
        </w:rPr>
        <w:t xml:space="preserve">                 </w:t>
      </w:r>
      <w:r>
        <w:rPr>
          <w:rFonts w:hint="eastAsia" w:ascii="仿宋_GB2312" w:eastAsia="仿宋_GB2312" w:cs="仿宋_GB2312"/>
          <w:u w:val="single"/>
          <w:lang w:val="en-US" w:eastAsia="zh-CN"/>
        </w:rPr>
        <w:t xml:space="preserve"> </w:t>
      </w:r>
    </w:p>
    <w:p>
      <w:pPr>
        <w:ind w:firstLine="720" w:firstLineChars="225"/>
        <w:jc w:val="left"/>
        <w:rPr>
          <w:rFonts w:ascii="仿宋_GB2312" w:eastAsia="仿宋_GB2312" w:cs="Times New Roman"/>
        </w:rPr>
      </w:pPr>
      <w:r>
        <w:rPr>
          <w:rFonts w:hint="eastAsia" w:ascii="仿宋_GB2312" w:eastAsia="仿宋_GB2312" w:cs="仿宋_GB2312"/>
        </w:rPr>
        <w:t>报</w:t>
      </w:r>
      <w:r>
        <w:rPr>
          <w:rFonts w:ascii="仿宋_GB2312" w:eastAsia="仿宋_GB2312" w:cs="仿宋_GB2312"/>
        </w:rPr>
        <w:t xml:space="preserve"> </w:t>
      </w:r>
      <w:r>
        <w:rPr>
          <w:rFonts w:hint="eastAsia" w:ascii="仿宋_GB2312" w:eastAsia="仿宋_GB2312" w:cs="仿宋_GB2312"/>
        </w:rPr>
        <w:t>送</w:t>
      </w:r>
      <w:r>
        <w:rPr>
          <w:rFonts w:ascii="仿宋_GB2312" w:eastAsia="仿宋_GB2312" w:cs="仿宋_GB2312"/>
        </w:rPr>
        <w:t xml:space="preserve"> </w:t>
      </w:r>
      <w:r>
        <w:rPr>
          <w:rFonts w:hint="eastAsia" w:ascii="仿宋_GB2312" w:eastAsia="仿宋_GB2312" w:cs="仿宋_GB2312"/>
        </w:rPr>
        <w:t>时</w:t>
      </w:r>
      <w:r>
        <w:rPr>
          <w:rFonts w:ascii="仿宋_GB2312" w:eastAsia="仿宋_GB2312" w:cs="仿宋_GB2312"/>
        </w:rPr>
        <w:t xml:space="preserve"> </w:t>
      </w:r>
      <w:r>
        <w:rPr>
          <w:rFonts w:hint="eastAsia" w:ascii="仿宋_GB2312" w:eastAsia="仿宋_GB2312" w:cs="仿宋_GB2312"/>
        </w:rPr>
        <w:t>间</w:t>
      </w:r>
      <w:r>
        <w:rPr>
          <w:rFonts w:ascii="仿宋_GB2312" w:eastAsia="仿宋_GB2312" w:cs="仿宋_GB2312"/>
        </w:rPr>
        <w:t xml:space="preserve">  </w:t>
      </w:r>
      <w:r>
        <w:rPr>
          <w:rFonts w:ascii="仿宋_GB2312" w:eastAsia="仿宋_GB2312" w:cs="仿宋_GB2312"/>
          <w:u w:val="single"/>
        </w:rPr>
        <w:t xml:space="preserve"> 202</w:t>
      </w:r>
      <w:r>
        <w:rPr>
          <w:rFonts w:hint="eastAsia" w:ascii="仿宋_GB2312" w:eastAsia="仿宋_GB2312" w:cs="仿宋_GB2312"/>
          <w:u w:val="single"/>
          <w:lang w:val="en-US" w:eastAsia="zh-CN"/>
        </w:rPr>
        <w:t>1</w:t>
      </w:r>
      <w:r>
        <w:rPr>
          <w:rFonts w:ascii="仿宋_GB2312" w:eastAsia="仿宋_GB2312" w:cs="仿宋_GB2312"/>
          <w:u w:val="single"/>
        </w:rPr>
        <w:t xml:space="preserve">   </w:t>
      </w:r>
      <w:r>
        <w:rPr>
          <w:rFonts w:hint="eastAsia" w:ascii="仿宋_GB2312" w:eastAsia="仿宋_GB2312" w:cs="仿宋_GB2312"/>
        </w:rPr>
        <w:t>年</w:t>
      </w:r>
      <w:r>
        <w:rPr>
          <w:rFonts w:ascii="仿宋_GB2312" w:eastAsia="仿宋_GB2312" w:cs="仿宋_GB2312"/>
        </w:rPr>
        <w:t xml:space="preserve"> </w:t>
      </w:r>
      <w:r>
        <w:rPr>
          <w:rFonts w:ascii="仿宋_GB2312" w:eastAsia="仿宋_GB2312" w:cs="仿宋_GB2312"/>
          <w:u w:val="single"/>
        </w:rPr>
        <w:t xml:space="preserve">  </w:t>
      </w:r>
      <w:r>
        <w:rPr>
          <w:rFonts w:hint="eastAsia" w:ascii="仿宋_GB2312" w:eastAsia="仿宋_GB2312" w:cs="仿宋_GB2312"/>
          <w:u w:val="single"/>
          <w:lang w:val="en-US" w:eastAsia="zh-CN"/>
        </w:rPr>
        <w:t>1</w:t>
      </w:r>
      <w:r>
        <w:rPr>
          <w:rFonts w:ascii="仿宋_GB2312" w:eastAsia="仿宋_GB2312" w:cs="仿宋_GB2312"/>
          <w:u w:val="single"/>
        </w:rPr>
        <w:t xml:space="preserve">  </w:t>
      </w:r>
      <w:r>
        <w:rPr>
          <w:rFonts w:hint="eastAsia" w:ascii="仿宋_GB2312" w:eastAsia="仿宋_GB2312" w:cs="仿宋_GB2312"/>
        </w:rPr>
        <w:t>月</w:t>
      </w:r>
      <w:r>
        <w:rPr>
          <w:rFonts w:ascii="仿宋_GB2312" w:eastAsia="仿宋_GB2312" w:cs="仿宋_GB2312"/>
        </w:rPr>
        <w:t xml:space="preserve"> </w:t>
      </w:r>
      <w:r>
        <w:rPr>
          <w:rFonts w:ascii="仿宋_GB2312" w:eastAsia="仿宋_GB2312" w:cs="仿宋_GB2312"/>
          <w:u w:val="single"/>
        </w:rPr>
        <w:t xml:space="preserve">  2</w:t>
      </w:r>
      <w:r>
        <w:rPr>
          <w:rFonts w:hint="default" w:ascii="仿宋_GB2312" w:eastAsia="仿宋_GB2312" w:cs="仿宋_GB2312"/>
          <w:u w:val="single"/>
          <w:lang w:val="en-US" w:eastAsia="zh-CN"/>
        </w:rPr>
        <w:t>7</w:t>
      </w:r>
      <w:r>
        <w:rPr>
          <w:rFonts w:ascii="仿宋_GB2312" w:eastAsia="仿宋_GB2312" w:cs="仿宋_GB2312"/>
          <w:u w:val="single"/>
        </w:rPr>
        <w:t xml:space="preserve"> </w:t>
      </w:r>
      <w:r>
        <w:rPr>
          <w:rFonts w:hint="eastAsia" w:ascii="仿宋_GB2312" w:eastAsia="仿宋_GB2312" w:cs="仿宋_GB2312"/>
        </w:rPr>
        <w:t>日</w:t>
      </w:r>
    </w:p>
    <w:p>
      <w:pPr>
        <w:ind w:firstLine="675" w:firstLineChars="225"/>
        <w:rPr>
          <w:rFonts w:ascii="仿宋_GB2312" w:eastAsia="仿宋_GB2312" w:cs="Times New Roman"/>
          <w:sz w:val="30"/>
          <w:szCs w:val="30"/>
          <w:u w:val="single"/>
        </w:rPr>
      </w:pPr>
    </w:p>
    <w:p>
      <w:pPr>
        <w:jc w:val="center"/>
        <w:rPr>
          <w:rFonts w:ascii="宋体" w:hAnsi="宋体" w:eastAsia="宋体" w:cs="Times New Roman"/>
          <w:b/>
          <w:bCs/>
          <w:color w:val="000000"/>
          <w:kern w:val="36"/>
          <w:sz w:val="44"/>
          <w:szCs w:val="44"/>
        </w:rPr>
      </w:pPr>
      <w:r>
        <w:rPr>
          <w:rFonts w:ascii="微软雅黑" w:hAnsi="微软雅黑" w:eastAsia="微软雅黑" w:cs="Times New Roman"/>
          <w:b/>
          <w:bCs/>
          <w:color w:val="000000"/>
          <w:kern w:val="36"/>
          <w:sz w:val="44"/>
          <w:szCs w:val="44"/>
        </w:rPr>
        <w:br w:type="page"/>
      </w:r>
      <w:r>
        <w:rPr>
          <w:rFonts w:hint="eastAsia" w:ascii="宋体" w:hAnsi="宋体" w:eastAsia="宋体" w:cs="宋体"/>
          <w:b/>
          <w:bCs/>
          <w:color w:val="000000"/>
          <w:kern w:val="36"/>
          <w:sz w:val="44"/>
          <w:szCs w:val="44"/>
        </w:rPr>
        <w:t>目</w:t>
      </w:r>
      <w:r>
        <w:rPr>
          <w:rFonts w:ascii="宋体" w:hAnsi="宋体" w:eastAsia="宋体" w:cs="宋体"/>
          <w:b/>
          <w:bCs/>
          <w:color w:val="000000"/>
          <w:kern w:val="36"/>
          <w:sz w:val="44"/>
          <w:szCs w:val="44"/>
        </w:rPr>
        <w:t xml:space="preserve">  </w:t>
      </w:r>
      <w:r>
        <w:rPr>
          <w:rFonts w:hint="eastAsia" w:ascii="宋体" w:hAnsi="宋体" w:eastAsia="宋体" w:cs="宋体"/>
          <w:b/>
          <w:bCs/>
          <w:color w:val="000000"/>
          <w:kern w:val="36"/>
          <w:sz w:val="44"/>
          <w:szCs w:val="44"/>
        </w:rPr>
        <w:t>录</w:t>
      </w:r>
    </w:p>
    <w:p>
      <w:pPr>
        <w:pStyle w:val="7"/>
        <w:tabs>
          <w:tab w:val="right" w:leader="dot" w:pos="8834"/>
        </w:tabs>
        <w:rPr>
          <w:rFonts w:ascii="Times New Roman" w:hAnsi="Times New Roman" w:eastAsia="宋体" w:cs="Times New Roman"/>
          <w:sz w:val="21"/>
          <w:szCs w:val="24"/>
        </w:rPr>
      </w:pPr>
      <w:r>
        <w:rPr>
          <w:rFonts w:ascii="仿宋_GB2312" w:hAnsi="黑体" w:eastAsia="仿宋_GB2312" w:cs="仿宋_GB2312"/>
        </w:rPr>
        <w:fldChar w:fldCharType="begin"/>
      </w:r>
      <w:r>
        <w:rPr>
          <w:rFonts w:ascii="仿宋_GB2312" w:hAnsi="黑体" w:eastAsia="仿宋_GB2312" w:cs="仿宋_GB2312"/>
        </w:rPr>
        <w:instrText xml:space="preserve"> TOC \o "1-2" \h \z \u </w:instrText>
      </w:r>
      <w:r>
        <w:rPr>
          <w:rFonts w:ascii="仿宋_GB2312" w:hAnsi="黑体" w:eastAsia="仿宋_GB2312" w:cs="仿宋_GB2312"/>
        </w:rPr>
        <w:fldChar w:fldCharType="separate"/>
      </w:r>
      <w:r>
        <w:fldChar w:fldCharType="begin"/>
      </w:r>
      <w:r>
        <w:instrText xml:space="preserve"> HYPERLINK \l "_Toc34123268" </w:instrText>
      </w:r>
      <w:r>
        <w:fldChar w:fldCharType="separate"/>
      </w:r>
      <w:r>
        <w:rPr>
          <w:rStyle w:val="17"/>
          <w:rFonts w:ascii="黑体" w:hAnsi="黑体" w:eastAsia="黑体" w:cs="黑体"/>
        </w:rPr>
        <w:t>1.</w:t>
      </w:r>
      <w:r>
        <w:rPr>
          <w:rStyle w:val="17"/>
          <w:rFonts w:hint="eastAsia" w:ascii="黑体" w:hAnsi="黑体" w:eastAsia="黑体" w:cs="黑体"/>
        </w:rPr>
        <w:t>学校情况</w:t>
      </w:r>
      <w:r>
        <w:tab/>
      </w:r>
      <w:r>
        <w:fldChar w:fldCharType="begin"/>
      </w:r>
      <w:r>
        <w:instrText xml:space="preserve"> PAGEREF _Toc34123268 \h </w:instrText>
      </w:r>
      <w:r>
        <w:fldChar w:fldCharType="separate"/>
      </w:r>
      <w:r>
        <w:t>1</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"_Toc34123269" </w:instrText>
      </w:r>
      <w:r>
        <w:fldChar w:fldCharType="separate"/>
      </w:r>
      <w:r>
        <w:rPr>
          <w:rStyle w:val="17"/>
          <w:rFonts w:ascii="宋体" w:hAnsi="宋体" w:cs="宋体"/>
        </w:rPr>
        <w:t>1.1</w:t>
      </w:r>
      <w:r>
        <w:rPr>
          <w:rStyle w:val="17"/>
          <w:rFonts w:hint="eastAsia" w:ascii="宋体" w:hAnsi="宋体" w:cs="宋体"/>
        </w:rPr>
        <w:t>学校概况</w:t>
      </w:r>
      <w:r>
        <w:tab/>
      </w:r>
      <w:r>
        <w:fldChar w:fldCharType="begin"/>
      </w:r>
      <w:r>
        <w:instrText xml:space="preserve"> PAGEREF _Toc34123269 \h </w:instrText>
      </w:r>
      <w:r>
        <w:fldChar w:fldCharType="separate"/>
      </w:r>
      <w:r>
        <w:t>1</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"_Toc34123270" </w:instrText>
      </w:r>
      <w:r>
        <w:fldChar w:fldCharType="separate"/>
      </w:r>
      <w:r>
        <w:rPr>
          <w:rStyle w:val="17"/>
          <w:rFonts w:ascii="宋体" w:hAnsi="宋体" w:cs="宋体"/>
        </w:rPr>
        <w:t>1.2</w:t>
      </w:r>
      <w:r>
        <w:rPr>
          <w:rStyle w:val="17"/>
          <w:rFonts w:hint="eastAsia" w:ascii="宋体" w:hAnsi="宋体" w:cs="宋体"/>
        </w:rPr>
        <w:t>学生情况</w:t>
      </w:r>
      <w:r>
        <w:tab/>
      </w:r>
      <w:r>
        <w:fldChar w:fldCharType="begin"/>
      </w:r>
      <w:r>
        <w:instrText xml:space="preserve"> PAGEREF _Toc34123270 \h </w:instrText>
      </w:r>
      <w:r>
        <w:fldChar w:fldCharType="separate"/>
      </w:r>
      <w:r>
        <w:t>1</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"_Toc34123271" </w:instrText>
      </w:r>
      <w:r>
        <w:fldChar w:fldCharType="separate"/>
      </w:r>
      <w:r>
        <w:rPr>
          <w:rStyle w:val="17"/>
          <w:rFonts w:ascii="宋体" w:hAnsi="宋体" w:cs="宋体"/>
        </w:rPr>
        <w:t>1.3</w:t>
      </w:r>
      <w:r>
        <w:rPr>
          <w:rStyle w:val="17"/>
          <w:rFonts w:hint="eastAsia" w:ascii="宋体" w:hAnsi="宋体" w:cs="宋体"/>
        </w:rPr>
        <w:t>教师队伍</w:t>
      </w:r>
      <w:r>
        <w:tab/>
      </w:r>
      <w:r>
        <w:fldChar w:fldCharType="begin"/>
      </w:r>
      <w:r>
        <w:instrText xml:space="preserve"> PAGEREF _Toc34123271 \h </w:instrText>
      </w:r>
      <w:r>
        <w:fldChar w:fldCharType="separate"/>
      </w:r>
      <w:r>
        <w:t>2</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"_Toc34123272" </w:instrText>
      </w:r>
      <w:r>
        <w:fldChar w:fldCharType="separate"/>
      </w:r>
      <w:r>
        <w:rPr>
          <w:rStyle w:val="17"/>
          <w:rFonts w:ascii="宋体" w:hAnsi="宋体" w:cs="宋体"/>
        </w:rPr>
        <w:t>1.4</w:t>
      </w:r>
      <w:r>
        <w:rPr>
          <w:rStyle w:val="17"/>
          <w:rFonts w:hint="eastAsia" w:ascii="宋体" w:hAnsi="宋体" w:cs="宋体"/>
        </w:rPr>
        <w:t>设施设备</w:t>
      </w:r>
      <w:r>
        <w:tab/>
      </w:r>
      <w:r>
        <w:fldChar w:fldCharType="begin"/>
      </w:r>
      <w:r>
        <w:instrText xml:space="preserve"> PAGEREF _Toc34123272 \h </w:instrText>
      </w:r>
      <w:r>
        <w:fldChar w:fldCharType="separate"/>
      </w:r>
      <w:r>
        <w:t>3</w:t>
      </w:r>
      <w:r>
        <w:fldChar w:fldCharType="end"/>
      </w:r>
      <w:r>
        <w:fldChar w:fldCharType="end"/>
      </w:r>
    </w:p>
    <w:p>
      <w:pPr>
        <w:pStyle w:val="7"/>
        <w:tabs>
          <w:tab w:val="right" w:leader="dot" w:pos="8834"/>
        </w:tabs>
        <w:rPr>
          <w:rFonts w:ascii="Times New Roman" w:hAnsi="Times New Roman" w:eastAsia="宋体" w:cs="Times New Roman"/>
          <w:sz w:val="21"/>
          <w:szCs w:val="24"/>
        </w:rPr>
      </w:pPr>
      <w:r>
        <w:fldChar w:fldCharType="begin"/>
      </w:r>
      <w:r>
        <w:instrText xml:space="preserve"> HYPERLINK \l "_Toc34123273" </w:instrText>
      </w:r>
      <w:r>
        <w:fldChar w:fldCharType="separate"/>
      </w:r>
      <w:r>
        <w:rPr>
          <w:rStyle w:val="17"/>
          <w:rFonts w:ascii="黑体" w:hAnsi="黑体" w:eastAsia="黑体" w:cs="黑体"/>
        </w:rPr>
        <w:t>2.</w:t>
      </w:r>
      <w:r>
        <w:rPr>
          <w:rStyle w:val="17"/>
          <w:rFonts w:hint="eastAsia" w:ascii="黑体" w:hAnsi="黑体" w:eastAsia="黑体" w:cs="黑体"/>
        </w:rPr>
        <w:t>学生发展</w:t>
      </w:r>
      <w:r>
        <w:tab/>
      </w:r>
      <w:r>
        <w:fldChar w:fldCharType="begin"/>
      </w:r>
      <w:r>
        <w:instrText xml:space="preserve"> PAGEREF _Toc34123273 \h </w:instrText>
      </w:r>
      <w:r>
        <w:fldChar w:fldCharType="separate"/>
      </w:r>
      <w:r>
        <w:t>4</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"_Toc34123274" </w:instrText>
      </w:r>
      <w:r>
        <w:fldChar w:fldCharType="separate"/>
      </w:r>
      <w:r>
        <w:rPr>
          <w:rStyle w:val="17"/>
          <w:rFonts w:ascii="宋体" w:hAnsi="宋体" w:cs="宋体"/>
        </w:rPr>
        <w:t>2.1</w:t>
      </w:r>
      <w:r>
        <w:rPr>
          <w:rStyle w:val="17"/>
          <w:rFonts w:hint="eastAsia" w:ascii="宋体" w:hAnsi="宋体" w:cs="宋体"/>
        </w:rPr>
        <w:t>学生素质</w:t>
      </w:r>
      <w:r>
        <w:tab/>
      </w:r>
      <w:r>
        <w:fldChar w:fldCharType="begin"/>
      </w:r>
      <w:r>
        <w:instrText xml:space="preserve"> PAGEREF _Toc34123274 \h </w:instrText>
      </w:r>
      <w:r>
        <w:fldChar w:fldCharType="separate"/>
      </w:r>
      <w:r>
        <w:t>4</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"_Toc34123275" </w:instrText>
      </w:r>
      <w:r>
        <w:fldChar w:fldCharType="separate"/>
      </w:r>
      <w:r>
        <w:rPr>
          <w:rStyle w:val="17"/>
          <w:rFonts w:ascii="宋体" w:hAnsi="宋体" w:cs="宋体"/>
        </w:rPr>
        <w:t>2.2</w:t>
      </w:r>
      <w:r>
        <w:rPr>
          <w:rStyle w:val="17"/>
          <w:rFonts w:hint="eastAsia" w:ascii="宋体" w:hAnsi="宋体" w:cs="宋体"/>
        </w:rPr>
        <w:t>在校体验</w:t>
      </w:r>
      <w:r>
        <w:tab/>
      </w:r>
      <w:r>
        <w:fldChar w:fldCharType="begin"/>
      </w:r>
      <w:r>
        <w:instrText xml:space="preserve"> PAGEREF _Toc34123275 \h </w:instrText>
      </w:r>
      <w:r>
        <w:fldChar w:fldCharType="separate"/>
      </w:r>
      <w:r>
        <w:t>4</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"_Toc34123276" </w:instrText>
      </w:r>
      <w:r>
        <w:fldChar w:fldCharType="separate"/>
      </w:r>
      <w:r>
        <w:rPr>
          <w:rStyle w:val="17"/>
          <w:rFonts w:ascii="宋体" w:hAnsi="宋体" w:cs="宋体"/>
        </w:rPr>
        <w:t>2.3</w:t>
      </w:r>
      <w:r>
        <w:rPr>
          <w:rStyle w:val="17"/>
          <w:rFonts w:hint="eastAsia" w:ascii="宋体" w:hAnsi="宋体" w:cs="宋体"/>
        </w:rPr>
        <w:t>资助情况</w:t>
      </w:r>
      <w:r>
        <w:tab/>
      </w:r>
      <w:r>
        <w:fldChar w:fldCharType="begin"/>
      </w:r>
      <w:r>
        <w:instrText xml:space="preserve"> PAGEREF _Toc34123276 \h </w:instrText>
      </w:r>
      <w:r>
        <w:fldChar w:fldCharType="separate"/>
      </w:r>
      <w:r>
        <w:t>5</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"_Toc34123277" </w:instrText>
      </w:r>
      <w:r>
        <w:fldChar w:fldCharType="separate"/>
      </w:r>
      <w:r>
        <w:rPr>
          <w:rStyle w:val="17"/>
          <w:rFonts w:ascii="宋体" w:hAnsi="宋体" w:cs="宋体"/>
        </w:rPr>
        <w:t>2.4</w:t>
      </w:r>
      <w:r>
        <w:rPr>
          <w:rStyle w:val="17"/>
          <w:rFonts w:hint="eastAsia" w:ascii="宋体" w:hAnsi="宋体" w:cs="宋体"/>
        </w:rPr>
        <w:t>就业质量</w:t>
      </w:r>
      <w:r>
        <w:tab/>
      </w:r>
      <w:r>
        <w:fldChar w:fldCharType="begin"/>
      </w:r>
      <w:r>
        <w:instrText xml:space="preserve"> PAGEREF _Toc34123277 \h </w:instrText>
      </w:r>
      <w:r>
        <w:fldChar w:fldCharType="separate"/>
      </w:r>
      <w:r>
        <w:t>6</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"_Toc34123278" </w:instrText>
      </w:r>
      <w:r>
        <w:fldChar w:fldCharType="separate"/>
      </w:r>
      <w:r>
        <w:rPr>
          <w:rStyle w:val="17"/>
          <w:rFonts w:ascii="宋体" w:hAnsi="宋体" w:cs="宋体"/>
        </w:rPr>
        <w:t>2.5</w:t>
      </w:r>
      <w:r>
        <w:rPr>
          <w:rStyle w:val="17"/>
          <w:rFonts w:hint="eastAsia" w:ascii="宋体" w:hAnsi="宋体" w:cs="宋体"/>
        </w:rPr>
        <w:t>职业发展</w:t>
      </w:r>
      <w:r>
        <w:tab/>
      </w:r>
      <w:r>
        <w:fldChar w:fldCharType="begin"/>
      </w:r>
      <w:r>
        <w:instrText xml:space="preserve"> PAGEREF _Toc34123278 \h </w:instrText>
      </w:r>
      <w:r>
        <w:fldChar w:fldCharType="separate"/>
      </w:r>
      <w:r>
        <w:t>6</w:t>
      </w:r>
      <w:r>
        <w:fldChar w:fldCharType="end"/>
      </w:r>
      <w:r>
        <w:fldChar w:fldCharType="end"/>
      </w:r>
    </w:p>
    <w:p>
      <w:pPr>
        <w:pStyle w:val="7"/>
        <w:tabs>
          <w:tab w:val="right" w:leader="dot" w:pos="8834"/>
        </w:tabs>
        <w:rPr>
          <w:rFonts w:ascii="Times New Roman" w:hAnsi="Times New Roman" w:eastAsia="宋体" w:cs="Times New Roman"/>
          <w:sz w:val="21"/>
          <w:szCs w:val="24"/>
        </w:rPr>
      </w:pPr>
      <w:r>
        <w:fldChar w:fldCharType="begin"/>
      </w:r>
      <w:r>
        <w:instrText xml:space="preserve"> HYPERLINK \l "_Toc34123279" </w:instrText>
      </w:r>
      <w:r>
        <w:fldChar w:fldCharType="separate"/>
      </w:r>
      <w:r>
        <w:rPr>
          <w:rStyle w:val="17"/>
          <w:rFonts w:ascii="黑体" w:hAnsi="黑体" w:eastAsia="黑体" w:cs="黑体"/>
        </w:rPr>
        <w:t>3.</w:t>
      </w:r>
      <w:r>
        <w:rPr>
          <w:rStyle w:val="17"/>
          <w:rFonts w:hint="eastAsia" w:ascii="黑体" w:hAnsi="黑体" w:eastAsia="黑体" w:cs="黑体"/>
        </w:rPr>
        <w:t>质量保障措施</w:t>
      </w:r>
      <w:r>
        <w:tab/>
      </w:r>
      <w:r>
        <w:fldChar w:fldCharType="begin"/>
      </w:r>
      <w:r>
        <w:instrText xml:space="preserve"> PAGEREF _Toc34123279 \h </w:instrText>
      </w:r>
      <w:r>
        <w:fldChar w:fldCharType="separate"/>
      </w:r>
      <w:r>
        <w:t>7</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"_Toc34123280" </w:instrText>
      </w:r>
      <w:r>
        <w:fldChar w:fldCharType="separate"/>
      </w:r>
      <w:r>
        <w:rPr>
          <w:rStyle w:val="17"/>
          <w:rFonts w:ascii="宋体" w:hAnsi="宋体" w:cs="宋体"/>
        </w:rPr>
        <w:t>3.1</w:t>
      </w:r>
      <w:r>
        <w:rPr>
          <w:rStyle w:val="17"/>
          <w:rFonts w:hint="eastAsia" w:ascii="宋体" w:hAnsi="宋体" w:cs="宋体"/>
        </w:rPr>
        <w:t>专业动态调整</w:t>
      </w:r>
      <w:r>
        <w:tab/>
      </w:r>
      <w:r>
        <w:fldChar w:fldCharType="begin"/>
      </w:r>
      <w:r>
        <w:instrText xml:space="preserve"> PAGEREF _Toc34123280 \h </w:instrText>
      </w:r>
      <w:r>
        <w:fldChar w:fldCharType="separate"/>
      </w:r>
      <w:r>
        <w:t>7</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"_Toc34123281" </w:instrText>
      </w:r>
      <w:r>
        <w:fldChar w:fldCharType="separate"/>
      </w:r>
      <w:r>
        <w:rPr>
          <w:rStyle w:val="17"/>
          <w:rFonts w:ascii="宋体" w:hAnsi="宋体" w:cs="宋体"/>
        </w:rPr>
        <w:t>3.2</w:t>
      </w:r>
      <w:r>
        <w:rPr>
          <w:rStyle w:val="17"/>
          <w:rFonts w:hint="eastAsia" w:ascii="宋体" w:hAnsi="宋体" w:cs="宋体"/>
        </w:rPr>
        <w:t>教育教学改革</w:t>
      </w:r>
      <w:r>
        <w:tab/>
      </w:r>
      <w:r>
        <w:fldChar w:fldCharType="begin"/>
      </w:r>
      <w:r>
        <w:instrText xml:space="preserve"> PAGEREF _Toc34123281 \h </w:instrText>
      </w:r>
      <w:r>
        <w:fldChar w:fldCharType="separate"/>
      </w:r>
      <w:r>
        <w:t>8</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"_Toc34123282" </w:instrText>
      </w:r>
      <w:r>
        <w:fldChar w:fldCharType="separate"/>
      </w:r>
      <w:r>
        <w:rPr>
          <w:rStyle w:val="17"/>
          <w:rFonts w:ascii="宋体" w:hAnsi="宋体" w:cs="宋体"/>
        </w:rPr>
        <w:t>3.3</w:t>
      </w:r>
      <w:r>
        <w:rPr>
          <w:rStyle w:val="17"/>
          <w:rFonts w:hint="eastAsia" w:ascii="宋体" w:hAnsi="宋体" w:cs="宋体"/>
        </w:rPr>
        <w:t>教师培养培训</w:t>
      </w:r>
      <w:r>
        <w:tab/>
      </w:r>
      <w:r>
        <w:fldChar w:fldCharType="begin"/>
      </w:r>
      <w:r>
        <w:instrText xml:space="preserve"> PAGEREF _Toc34123282 \h </w:instrText>
      </w:r>
      <w:r>
        <w:fldChar w:fldCharType="separate"/>
      </w:r>
      <w:r>
        <w:t>13</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"_Toc34123283" </w:instrText>
      </w:r>
      <w:r>
        <w:fldChar w:fldCharType="separate"/>
      </w:r>
      <w:r>
        <w:rPr>
          <w:rStyle w:val="17"/>
          <w:rFonts w:ascii="宋体" w:hAnsi="宋体" w:cs="宋体"/>
        </w:rPr>
        <w:t>3.4</w:t>
      </w:r>
      <w:r>
        <w:rPr>
          <w:rStyle w:val="17"/>
          <w:rFonts w:hint="eastAsia" w:ascii="宋体" w:hAnsi="宋体" w:cs="宋体"/>
        </w:rPr>
        <w:t>规范管理情况</w:t>
      </w:r>
      <w:r>
        <w:tab/>
      </w:r>
      <w:r>
        <w:fldChar w:fldCharType="begin"/>
      </w:r>
      <w:r>
        <w:instrText xml:space="preserve"> PAGEREF _Toc34123283 \h </w:instrText>
      </w:r>
      <w:r>
        <w:fldChar w:fldCharType="separate"/>
      </w:r>
      <w:r>
        <w:t>14</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"_Toc34123284" </w:instrText>
      </w:r>
      <w:r>
        <w:fldChar w:fldCharType="separate"/>
      </w:r>
      <w:r>
        <w:rPr>
          <w:rStyle w:val="17"/>
          <w:rFonts w:ascii="宋体" w:hAnsi="宋体" w:cs="宋体"/>
        </w:rPr>
        <w:t>3.5</w:t>
      </w:r>
      <w:r>
        <w:rPr>
          <w:rStyle w:val="17"/>
          <w:rFonts w:hint="eastAsia" w:ascii="宋体" w:hAnsi="宋体" w:cs="宋体"/>
        </w:rPr>
        <w:t>德育工作情况</w:t>
      </w:r>
      <w:r>
        <w:tab/>
      </w:r>
      <w:r>
        <w:fldChar w:fldCharType="begin"/>
      </w:r>
      <w:r>
        <w:instrText xml:space="preserve"> PAGEREF _Toc34123284 \h </w:instrText>
      </w:r>
      <w:r>
        <w:fldChar w:fldCharType="separate"/>
      </w:r>
      <w:r>
        <w:t>19</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"_Toc34123285" </w:instrText>
      </w:r>
      <w:r>
        <w:fldChar w:fldCharType="separate"/>
      </w:r>
      <w:r>
        <w:rPr>
          <w:rStyle w:val="17"/>
          <w:rFonts w:ascii="宋体" w:hAnsi="宋体" w:cs="宋体"/>
        </w:rPr>
        <w:t>3.6</w:t>
      </w:r>
      <w:r>
        <w:rPr>
          <w:rStyle w:val="17"/>
          <w:rFonts w:hint="eastAsia" w:ascii="宋体" w:hAnsi="宋体" w:cs="宋体"/>
        </w:rPr>
        <w:t>党建情况</w:t>
      </w:r>
      <w:r>
        <w:tab/>
      </w:r>
      <w:r>
        <w:fldChar w:fldCharType="begin"/>
      </w:r>
      <w:r>
        <w:instrText xml:space="preserve"> PAGEREF _Toc34123285 \h </w:instrText>
      </w:r>
      <w:r>
        <w:fldChar w:fldCharType="separate"/>
      </w:r>
      <w:r>
        <w:t>22</w:t>
      </w:r>
      <w:r>
        <w:fldChar w:fldCharType="end"/>
      </w:r>
      <w:r>
        <w:fldChar w:fldCharType="end"/>
      </w:r>
    </w:p>
    <w:p>
      <w:pPr>
        <w:pStyle w:val="7"/>
        <w:tabs>
          <w:tab w:val="right" w:leader="dot" w:pos="8834"/>
        </w:tabs>
        <w:rPr>
          <w:rFonts w:ascii="Times New Roman" w:hAnsi="Times New Roman" w:eastAsia="宋体" w:cs="Times New Roman"/>
          <w:sz w:val="21"/>
          <w:szCs w:val="24"/>
        </w:rPr>
      </w:pPr>
      <w:r>
        <w:fldChar w:fldCharType="begin"/>
      </w:r>
      <w:r>
        <w:instrText xml:space="preserve"> HYPERLINK \l "_Toc34123286" </w:instrText>
      </w:r>
      <w:r>
        <w:fldChar w:fldCharType="separate"/>
      </w:r>
      <w:r>
        <w:rPr>
          <w:rStyle w:val="17"/>
          <w:rFonts w:ascii="黑体" w:hAnsi="黑体" w:eastAsia="黑体" w:cs="黑体"/>
        </w:rPr>
        <w:t>4.</w:t>
      </w:r>
      <w:r>
        <w:rPr>
          <w:rStyle w:val="17"/>
          <w:rFonts w:hint="eastAsia" w:ascii="黑体" w:hAnsi="黑体" w:eastAsia="黑体" w:cs="黑体"/>
        </w:rPr>
        <w:t>校企合作</w:t>
      </w:r>
      <w:r>
        <w:tab/>
      </w:r>
      <w:r>
        <w:fldChar w:fldCharType="begin"/>
      </w:r>
      <w:r>
        <w:instrText xml:space="preserve"> PAGEREF _Toc34123286 \h </w:instrText>
      </w:r>
      <w:r>
        <w:fldChar w:fldCharType="separate"/>
      </w:r>
      <w:r>
        <w:t>22</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"_Toc34123287" </w:instrText>
      </w:r>
      <w:r>
        <w:fldChar w:fldCharType="separate"/>
      </w:r>
      <w:r>
        <w:rPr>
          <w:rStyle w:val="17"/>
          <w:rFonts w:ascii="宋体" w:hAnsi="宋体" w:cs="宋体"/>
        </w:rPr>
        <w:t>4.1</w:t>
      </w:r>
      <w:r>
        <w:rPr>
          <w:rStyle w:val="17"/>
          <w:rFonts w:hint="eastAsia" w:ascii="宋体" w:hAnsi="宋体" w:cs="宋体"/>
        </w:rPr>
        <w:t>校企合作开展情况</w:t>
      </w:r>
      <w:r>
        <w:tab/>
      </w:r>
      <w:r>
        <w:fldChar w:fldCharType="begin"/>
      </w:r>
      <w:r>
        <w:instrText xml:space="preserve"> PAGEREF _Toc34123287 \h </w:instrText>
      </w:r>
      <w:r>
        <w:fldChar w:fldCharType="separate"/>
      </w:r>
      <w:r>
        <w:t>24</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"_Toc34123288" </w:instrText>
      </w:r>
      <w:r>
        <w:fldChar w:fldCharType="separate"/>
      </w:r>
      <w:r>
        <w:rPr>
          <w:rStyle w:val="17"/>
          <w:rFonts w:ascii="宋体" w:hAnsi="宋体" w:cs="宋体"/>
        </w:rPr>
        <w:t>4.2</w:t>
      </w:r>
      <w:r>
        <w:rPr>
          <w:rStyle w:val="17"/>
          <w:rFonts w:hint="eastAsia" w:ascii="宋体" w:hAnsi="宋体" w:cs="宋体"/>
        </w:rPr>
        <w:t>学生实习情况</w:t>
      </w:r>
      <w:r>
        <w:tab/>
      </w:r>
      <w:r>
        <w:fldChar w:fldCharType="begin"/>
      </w:r>
      <w:r>
        <w:instrText xml:space="preserve"> PAGEREF _Toc34123288 \h </w:instrText>
      </w:r>
      <w:r>
        <w:fldChar w:fldCharType="separate"/>
      </w:r>
      <w:r>
        <w:t>25</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"_Toc34123289" </w:instrText>
      </w:r>
      <w:r>
        <w:fldChar w:fldCharType="separate"/>
      </w:r>
      <w:r>
        <w:rPr>
          <w:rStyle w:val="17"/>
          <w:rFonts w:ascii="宋体" w:hAnsi="宋体" w:cs="宋体"/>
        </w:rPr>
        <w:t>4.3</w:t>
      </w:r>
      <w:r>
        <w:rPr>
          <w:rStyle w:val="17"/>
          <w:rFonts w:hint="eastAsia" w:ascii="宋体" w:hAnsi="宋体" w:cs="宋体"/>
        </w:rPr>
        <w:t>集团化办学情况</w:t>
      </w:r>
      <w:r>
        <w:tab/>
      </w:r>
      <w:r>
        <w:fldChar w:fldCharType="begin"/>
      </w:r>
      <w:r>
        <w:instrText xml:space="preserve"> PAGEREF _Toc34123289 \h </w:instrText>
      </w:r>
      <w:r>
        <w:fldChar w:fldCharType="separate"/>
      </w:r>
      <w:r>
        <w:t>25</w:t>
      </w:r>
      <w:r>
        <w:fldChar w:fldCharType="end"/>
      </w:r>
      <w:r>
        <w:fldChar w:fldCharType="end"/>
      </w:r>
    </w:p>
    <w:p>
      <w:pPr>
        <w:pStyle w:val="7"/>
        <w:tabs>
          <w:tab w:val="right" w:leader="dot" w:pos="8834"/>
        </w:tabs>
        <w:rPr>
          <w:rFonts w:ascii="Times New Roman" w:hAnsi="Times New Roman" w:eastAsia="宋体" w:cs="Times New Roman"/>
          <w:sz w:val="21"/>
          <w:szCs w:val="24"/>
        </w:rPr>
      </w:pPr>
      <w:r>
        <w:fldChar w:fldCharType="begin"/>
      </w:r>
      <w:r>
        <w:instrText xml:space="preserve"> HYPERLINK \l "_Toc34123290" </w:instrText>
      </w:r>
      <w:r>
        <w:fldChar w:fldCharType="separate"/>
      </w:r>
      <w:r>
        <w:rPr>
          <w:rStyle w:val="17"/>
          <w:rFonts w:ascii="黑体" w:hAnsi="黑体" w:eastAsia="黑体" w:cs="黑体"/>
        </w:rPr>
        <w:t>5.</w:t>
      </w:r>
      <w:r>
        <w:rPr>
          <w:rStyle w:val="17"/>
          <w:rFonts w:hint="eastAsia" w:ascii="黑体" w:hAnsi="黑体" w:eastAsia="黑体" w:cs="黑体"/>
        </w:rPr>
        <w:t>社会贡献</w:t>
      </w:r>
      <w:r>
        <w:tab/>
      </w:r>
      <w:r>
        <w:fldChar w:fldCharType="begin"/>
      </w:r>
      <w:r>
        <w:instrText xml:space="preserve"> PAGEREF _Toc34123290 \h </w:instrText>
      </w:r>
      <w:r>
        <w:fldChar w:fldCharType="separate"/>
      </w:r>
      <w:r>
        <w:t>26</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"_Toc34123291" </w:instrText>
      </w:r>
      <w:r>
        <w:fldChar w:fldCharType="separate"/>
      </w:r>
      <w:r>
        <w:rPr>
          <w:rStyle w:val="17"/>
          <w:rFonts w:ascii="宋体" w:hAnsi="宋体" w:cs="宋体"/>
        </w:rPr>
        <w:t>5.1</w:t>
      </w:r>
      <w:r>
        <w:rPr>
          <w:rStyle w:val="17"/>
          <w:rFonts w:hint="eastAsia" w:ascii="宋体" w:hAnsi="宋体" w:cs="宋体"/>
        </w:rPr>
        <w:t>技术技能人才培养</w:t>
      </w:r>
      <w:r>
        <w:tab/>
      </w:r>
      <w:r>
        <w:fldChar w:fldCharType="begin"/>
      </w:r>
      <w:r>
        <w:instrText xml:space="preserve"> PAGEREF _Toc34123291 \h </w:instrText>
      </w:r>
      <w:r>
        <w:fldChar w:fldCharType="separate"/>
      </w:r>
      <w:r>
        <w:t>26</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"_Toc34123292" </w:instrText>
      </w:r>
      <w:r>
        <w:fldChar w:fldCharType="separate"/>
      </w:r>
      <w:r>
        <w:rPr>
          <w:rStyle w:val="17"/>
          <w:rFonts w:ascii="宋体" w:hAnsi="宋体" w:cs="宋体"/>
        </w:rPr>
        <w:t>5.2</w:t>
      </w:r>
      <w:r>
        <w:rPr>
          <w:rStyle w:val="17"/>
          <w:rFonts w:hint="eastAsia" w:ascii="宋体" w:hAnsi="宋体" w:cs="宋体"/>
        </w:rPr>
        <w:t>社会服务</w:t>
      </w:r>
      <w:r>
        <w:tab/>
      </w:r>
      <w:r>
        <w:fldChar w:fldCharType="begin"/>
      </w:r>
      <w:r>
        <w:instrText xml:space="preserve"> PAGEREF _Toc34123292 \h </w:instrText>
      </w:r>
      <w:r>
        <w:fldChar w:fldCharType="separate"/>
      </w:r>
      <w:r>
        <w:t>26</w:t>
      </w:r>
      <w:r>
        <w:fldChar w:fldCharType="end"/>
      </w:r>
      <w:r>
        <w:fldChar w:fldCharType="end"/>
      </w:r>
    </w:p>
    <w:p>
      <w:pPr>
        <w:pStyle w:val="8"/>
        <w:tabs>
          <w:tab w:val="right" w:leader="dot" w:pos="8834"/>
        </w:tabs>
        <w:ind w:left="31680"/>
      </w:pPr>
      <w:r>
        <w:fldChar w:fldCharType="begin"/>
      </w:r>
      <w:r>
        <w:instrText xml:space="preserve"> HYPERLINK \l "_Toc34123293" </w:instrText>
      </w:r>
      <w:r>
        <w:fldChar w:fldCharType="separate"/>
      </w:r>
      <w:r>
        <w:rPr>
          <w:rStyle w:val="17"/>
          <w:rFonts w:ascii="宋体" w:hAnsi="宋体" w:cs="宋体"/>
        </w:rPr>
        <w:t>5.3</w:t>
      </w:r>
      <w:r>
        <w:rPr>
          <w:rStyle w:val="17"/>
          <w:rFonts w:hint="eastAsia" w:ascii="宋体" w:hAnsi="宋体" w:cs="宋体"/>
        </w:rPr>
        <w:t>对口支援</w:t>
      </w:r>
      <w:r>
        <w:tab/>
      </w:r>
      <w:r>
        <w:fldChar w:fldCharType="begin"/>
      </w:r>
      <w:r>
        <w:instrText xml:space="preserve"> PAGEREF _Toc34123293 \h </w:instrText>
      </w:r>
      <w:r>
        <w:fldChar w:fldCharType="separate"/>
      </w:r>
      <w:r>
        <w:t>27</w:t>
      </w:r>
      <w:r>
        <w:fldChar w:fldCharType="end"/>
      </w:r>
      <w:r>
        <w:fldChar w:fldCharType="end"/>
      </w:r>
    </w:p>
    <w:p>
      <w:pPr>
        <w:pStyle w:val="8"/>
        <w:tabs>
          <w:tab w:val="right" w:leader="dot" w:pos="8834"/>
        </w:tabs>
        <w:ind w:left="31680"/>
        <w:rPr>
          <w:rFonts w:hint="default" w:eastAsia="方正仿宋_GBK"/>
          <w:lang w:val="en-US" w:eastAsia="zh-CN"/>
        </w:rPr>
      </w:pPr>
      <w:r>
        <w:fldChar w:fldCharType="begin"/>
      </w:r>
      <w:r>
        <w:instrText xml:space="preserve"> HYPERLINK \l "_Toc34123293" </w:instrText>
      </w:r>
      <w:r>
        <w:fldChar w:fldCharType="separate"/>
      </w:r>
      <w:r>
        <w:rPr>
          <w:rStyle w:val="17"/>
          <w:rFonts w:ascii="宋体" w:hAnsi="宋体" w:cs="宋体"/>
        </w:rPr>
        <w:t>5.</w:t>
      </w:r>
      <w:r>
        <w:rPr>
          <w:rStyle w:val="17"/>
          <w:rFonts w:hint="eastAsia" w:ascii="宋体" w:hAnsi="宋体" w:cs="宋体"/>
          <w:lang w:val="en-US" w:eastAsia="zh-CN"/>
        </w:rPr>
        <w:t>4服务抗疫</w:t>
      </w:r>
      <w:r>
        <w:tab/>
      </w:r>
      <w:r>
        <w:fldChar w:fldCharType="begin"/>
      </w:r>
      <w:r>
        <w:instrText xml:space="preserve"> PAGEREF _Toc34123293 \h </w:instrText>
      </w:r>
      <w:r>
        <w:fldChar w:fldCharType="separate"/>
      </w:r>
      <w:r>
        <w:t>27</w:t>
      </w:r>
      <w:r>
        <w:fldChar w:fldCharType="end"/>
      </w:r>
      <w:r>
        <w:fldChar w:fldCharType="end"/>
      </w:r>
    </w:p>
    <w:p>
      <w:pPr>
        <w:pStyle w:val="7"/>
        <w:tabs>
          <w:tab w:val="right" w:leader="dot" w:pos="8834"/>
        </w:tabs>
        <w:rPr>
          <w:rFonts w:ascii="Times New Roman" w:hAnsi="Times New Roman" w:eastAsia="宋体" w:cs="Times New Roman"/>
          <w:sz w:val="21"/>
          <w:szCs w:val="24"/>
        </w:rPr>
      </w:pPr>
      <w:r>
        <w:fldChar w:fldCharType="begin"/>
      </w:r>
      <w:r>
        <w:instrText xml:space="preserve"> HYPERLINK \l "_Toc34123294" </w:instrText>
      </w:r>
      <w:r>
        <w:fldChar w:fldCharType="separate"/>
      </w:r>
      <w:r>
        <w:rPr>
          <w:rStyle w:val="17"/>
          <w:rFonts w:ascii="黑体" w:hAnsi="黑体" w:eastAsia="黑体" w:cs="黑体"/>
        </w:rPr>
        <w:t>6.</w:t>
      </w:r>
      <w:r>
        <w:rPr>
          <w:rStyle w:val="17"/>
          <w:rFonts w:hint="eastAsia" w:ascii="黑体" w:hAnsi="黑体" w:eastAsia="黑体" w:cs="黑体"/>
        </w:rPr>
        <w:t>举办者履责</w:t>
      </w:r>
      <w:r>
        <w:tab/>
      </w:r>
      <w:r>
        <w:fldChar w:fldCharType="begin"/>
      </w:r>
      <w:r>
        <w:instrText xml:space="preserve"> PAGEREF _Toc34123294 \h </w:instrText>
      </w:r>
      <w:r>
        <w:fldChar w:fldCharType="separate"/>
      </w:r>
      <w:r>
        <w:t>27</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"_Toc34123295" </w:instrText>
      </w:r>
      <w:r>
        <w:fldChar w:fldCharType="separate"/>
      </w:r>
      <w:r>
        <w:rPr>
          <w:rStyle w:val="17"/>
          <w:rFonts w:ascii="宋体" w:hAnsi="宋体" w:cs="宋体"/>
        </w:rPr>
        <w:t>6.1</w:t>
      </w:r>
      <w:r>
        <w:rPr>
          <w:rStyle w:val="17"/>
          <w:rFonts w:hint="eastAsia" w:ascii="宋体" w:hAnsi="宋体" w:cs="宋体"/>
        </w:rPr>
        <w:t>经费</w:t>
      </w:r>
      <w:r>
        <w:tab/>
      </w:r>
      <w:r>
        <w:fldChar w:fldCharType="begin"/>
      </w:r>
      <w:r>
        <w:instrText xml:space="preserve"> PAGEREF _Toc34123295 \h </w:instrText>
      </w:r>
      <w:r>
        <w:fldChar w:fldCharType="separate"/>
      </w:r>
      <w:r>
        <w:t>27</w:t>
      </w:r>
      <w:r>
        <w:fldChar w:fldCharType="end"/>
      </w:r>
      <w:r>
        <w:fldChar w:fldCharType="end"/>
      </w:r>
    </w:p>
    <w:p>
      <w:pPr>
        <w:pStyle w:val="8"/>
        <w:tabs>
          <w:tab w:val="right" w:leader="dot" w:pos="8834"/>
        </w:tabs>
        <w:ind w:left="31680"/>
        <w:rPr>
          <w:rFonts w:ascii="Times New Roman" w:hAnsi="Times New Roman" w:eastAsia="宋体" w:cs="Times New Roman"/>
          <w:sz w:val="21"/>
          <w:szCs w:val="24"/>
        </w:rPr>
      </w:pPr>
      <w:r>
        <w:fldChar w:fldCharType="begin"/>
      </w:r>
      <w:r>
        <w:instrText xml:space="preserve"> HYPERLINK \l "_Toc34123296" </w:instrText>
      </w:r>
      <w:r>
        <w:fldChar w:fldCharType="separate"/>
      </w:r>
      <w:r>
        <w:rPr>
          <w:rStyle w:val="17"/>
          <w:rFonts w:ascii="宋体" w:hAnsi="宋体" w:cs="宋体"/>
        </w:rPr>
        <w:t>6.2</w:t>
      </w:r>
      <w:r>
        <w:rPr>
          <w:rStyle w:val="17"/>
          <w:rFonts w:hint="eastAsia" w:ascii="宋体" w:hAnsi="宋体" w:cs="宋体"/>
        </w:rPr>
        <w:t>政策措施</w:t>
      </w:r>
      <w:r>
        <w:tab/>
      </w:r>
      <w:r>
        <w:fldChar w:fldCharType="begin"/>
      </w:r>
      <w:r>
        <w:instrText xml:space="preserve"> PAGEREF _Toc34123296 \h </w:instrText>
      </w:r>
      <w:r>
        <w:fldChar w:fldCharType="separate"/>
      </w:r>
      <w:r>
        <w:t>28</w:t>
      </w:r>
      <w:r>
        <w:fldChar w:fldCharType="end"/>
      </w:r>
      <w:r>
        <w:fldChar w:fldCharType="end"/>
      </w:r>
    </w:p>
    <w:p>
      <w:pPr>
        <w:pStyle w:val="7"/>
        <w:tabs>
          <w:tab w:val="right" w:leader="dot" w:pos="8834"/>
        </w:tabs>
        <w:rPr>
          <w:rFonts w:ascii="Times New Roman" w:hAnsi="Times New Roman" w:eastAsia="宋体" w:cs="Times New Roman"/>
          <w:sz w:val="21"/>
          <w:szCs w:val="24"/>
        </w:rPr>
      </w:pPr>
      <w:r>
        <w:fldChar w:fldCharType="begin"/>
      </w:r>
      <w:r>
        <w:instrText xml:space="preserve"> HYPERLINK \l "_Toc34123297" </w:instrText>
      </w:r>
      <w:r>
        <w:fldChar w:fldCharType="separate"/>
      </w:r>
      <w:r>
        <w:rPr>
          <w:rStyle w:val="17"/>
          <w:rFonts w:ascii="黑体" w:hAnsi="黑体" w:eastAsia="黑体" w:cs="黑体"/>
        </w:rPr>
        <w:t>7.</w:t>
      </w:r>
      <w:r>
        <w:rPr>
          <w:rStyle w:val="17"/>
          <w:rFonts w:hint="eastAsia" w:ascii="黑体" w:hAnsi="黑体" w:eastAsia="黑体" w:cs="黑体"/>
        </w:rPr>
        <w:t>特色创新（案例）</w:t>
      </w:r>
      <w:r>
        <w:tab/>
      </w:r>
      <w:r>
        <w:fldChar w:fldCharType="begin"/>
      </w:r>
      <w:r>
        <w:instrText xml:space="preserve"> PAGEREF _Toc34123297 \h </w:instrText>
      </w:r>
      <w:r>
        <w:fldChar w:fldCharType="separate"/>
      </w:r>
      <w:r>
        <w:t>28</w:t>
      </w:r>
      <w:r>
        <w:fldChar w:fldCharType="end"/>
      </w:r>
      <w:r>
        <w:fldChar w:fldCharType="end"/>
      </w:r>
    </w:p>
    <w:p>
      <w:pPr>
        <w:pStyle w:val="7"/>
        <w:tabs>
          <w:tab w:val="right" w:leader="dot" w:pos="8834"/>
        </w:tabs>
        <w:rPr>
          <w:rFonts w:ascii="Times New Roman" w:hAnsi="Times New Roman" w:eastAsia="宋体" w:cs="Times New Roman"/>
          <w:sz w:val="21"/>
          <w:szCs w:val="24"/>
        </w:rPr>
      </w:pPr>
      <w:r>
        <w:fldChar w:fldCharType="begin"/>
      </w:r>
      <w:r>
        <w:instrText xml:space="preserve"> HYPERLINK \l "_Toc34123298" </w:instrText>
      </w:r>
      <w:r>
        <w:fldChar w:fldCharType="separate"/>
      </w:r>
      <w:r>
        <w:rPr>
          <w:rStyle w:val="17"/>
          <w:rFonts w:ascii="黑体" w:hAnsi="黑体" w:eastAsia="黑体" w:cs="黑体"/>
        </w:rPr>
        <w:t>8.</w:t>
      </w:r>
      <w:r>
        <w:rPr>
          <w:rStyle w:val="17"/>
          <w:rFonts w:hint="eastAsia" w:ascii="黑体" w:hAnsi="黑体" w:eastAsia="黑体" w:cs="黑体"/>
        </w:rPr>
        <w:t>主要问题和改进措施</w:t>
      </w:r>
      <w:r>
        <w:tab/>
      </w:r>
      <w:r>
        <w:fldChar w:fldCharType="begin"/>
      </w:r>
      <w:r>
        <w:instrText xml:space="preserve"> PAGEREF _Toc34123298 \h </w:instrText>
      </w:r>
      <w:r>
        <w:fldChar w:fldCharType="separate"/>
      </w:r>
      <w:r>
        <w:t>32</w:t>
      </w:r>
      <w:r>
        <w:fldChar w:fldCharType="end"/>
      </w:r>
      <w:r>
        <w:fldChar w:fldCharType="end"/>
      </w:r>
    </w:p>
    <w:p>
      <w:pPr>
        <w:spacing w:line="20" w:lineRule="atLeast"/>
        <w:jc w:val="center"/>
        <w:rPr>
          <w:rFonts w:ascii="宋体" w:hAnsi="宋体" w:eastAsia="宋体" w:cs="Times New Roman"/>
          <w:sz w:val="28"/>
          <w:szCs w:val="28"/>
        </w:rPr>
      </w:pPr>
      <w:r>
        <w:rPr>
          <w:rFonts w:ascii="仿宋_GB2312" w:hAnsi="黑体" w:eastAsia="仿宋_GB2312" w:cs="仿宋_GB2312"/>
        </w:rPr>
        <w:fldChar w:fldCharType="end"/>
      </w:r>
    </w:p>
    <w:p>
      <w:pPr>
        <w:spacing w:line="20" w:lineRule="atLeast"/>
        <w:jc w:val="center"/>
        <w:rPr>
          <w:rFonts w:ascii="宋体" w:hAnsi="宋体" w:eastAsia="宋体" w:cs="Times New Roman"/>
          <w:sz w:val="28"/>
          <w:szCs w:val="28"/>
        </w:rPr>
      </w:pPr>
    </w:p>
    <w:p>
      <w:pPr>
        <w:spacing w:line="20" w:lineRule="atLeast"/>
        <w:jc w:val="center"/>
        <w:rPr>
          <w:rFonts w:ascii="宋体" w:hAnsi="宋体" w:eastAsia="宋体" w:cs="Times New Roman"/>
          <w:sz w:val="28"/>
          <w:szCs w:val="28"/>
        </w:rPr>
      </w:pPr>
    </w:p>
    <w:p>
      <w:pPr>
        <w:spacing w:line="20" w:lineRule="atLeast"/>
        <w:jc w:val="center"/>
        <w:rPr>
          <w:rFonts w:ascii="宋体" w:hAnsi="宋体" w:eastAsia="宋体" w:cs="Times New Roman"/>
          <w:sz w:val="28"/>
          <w:szCs w:val="28"/>
        </w:rPr>
      </w:pPr>
    </w:p>
    <w:p>
      <w:pPr>
        <w:tabs>
          <w:tab w:val="left" w:pos="3045"/>
        </w:tabs>
        <w:spacing w:line="20" w:lineRule="atLeast"/>
        <w:rPr>
          <w:rFonts w:ascii="宋体" w:hAnsi="宋体" w:eastAsia="宋体" w:cs="Times New Roman"/>
          <w:sz w:val="28"/>
          <w:szCs w:val="28"/>
        </w:rPr>
      </w:pPr>
      <w:r>
        <w:rPr>
          <w:rFonts w:ascii="宋体" w:hAnsi="宋体" w:eastAsia="宋体" w:cs="Times New Roman"/>
          <w:sz w:val="28"/>
          <w:szCs w:val="28"/>
        </w:rPr>
        <w:tab/>
      </w:r>
    </w:p>
    <w:p>
      <w:pPr>
        <w:spacing w:line="20" w:lineRule="atLeast"/>
        <w:jc w:val="center"/>
        <w:rPr>
          <w:rFonts w:ascii="宋体" w:hAnsi="宋体" w:eastAsia="宋体" w:cs="Times New Roman"/>
          <w:sz w:val="28"/>
          <w:szCs w:val="28"/>
        </w:rPr>
      </w:pPr>
    </w:p>
    <w:p>
      <w:pPr>
        <w:spacing w:line="20" w:lineRule="atLeast"/>
        <w:jc w:val="center"/>
        <w:rPr>
          <w:rFonts w:ascii="宋体" w:hAnsi="宋体" w:eastAsia="宋体" w:cs="Times New Roman"/>
          <w:sz w:val="28"/>
          <w:szCs w:val="28"/>
        </w:rPr>
      </w:pPr>
    </w:p>
    <w:p>
      <w:pPr>
        <w:spacing w:line="20" w:lineRule="atLeast"/>
        <w:jc w:val="center"/>
        <w:rPr>
          <w:rFonts w:ascii="宋体" w:hAnsi="宋体" w:eastAsia="宋体" w:cs="Times New Roman"/>
          <w:sz w:val="28"/>
          <w:szCs w:val="28"/>
        </w:rPr>
      </w:pPr>
    </w:p>
    <w:p>
      <w:pPr>
        <w:spacing w:line="20" w:lineRule="atLeast"/>
        <w:jc w:val="center"/>
        <w:rPr>
          <w:rFonts w:ascii="宋体" w:hAnsi="宋体" w:eastAsia="宋体" w:cs="Times New Roman"/>
          <w:sz w:val="28"/>
          <w:szCs w:val="28"/>
        </w:rPr>
      </w:pPr>
    </w:p>
    <w:p>
      <w:pPr>
        <w:spacing w:line="560" w:lineRule="exact"/>
        <w:jc w:val="center"/>
        <w:rPr>
          <w:rFonts w:hint="eastAsia" w:ascii="方正小标宋简体" w:hAnsi="宋体" w:eastAsia="方正小标宋简体" w:cs="方正小标宋简体"/>
          <w:sz w:val="44"/>
          <w:szCs w:val="44"/>
        </w:rPr>
      </w:pPr>
    </w:p>
    <w:p>
      <w:pPr>
        <w:spacing w:line="560" w:lineRule="exact"/>
        <w:jc w:val="center"/>
        <w:rPr>
          <w:rFonts w:hint="eastAsia" w:ascii="方正小标宋简体" w:hAnsi="宋体" w:eastAsia="方正小标宋简体" w:cs="方正小标宋简体"/>
          <w:sz w:val="44"/>
          <w:szCs w:val="44"/>
        </w:rPr>
      </w:pPr>
    </w:p>
    <w:p>
      <w:pPr>
        <w:spacing w:line="560" w:lineRule="exact"/>
        <w:jc w:val="center"/>
        <w:rPr>
          <w:rFonts w:hint="eastAsia" w:ascii="方正小标宋简体" w:hAnsi="宋体" w:eastAsia="方正小标宋简体" w:cs="方正小标宋简体"/>
          <w:sz w:val="44"/>
          <w:szCs w:val="44"/>
        </w:rPr>
        <w:sectPr>
          <w:footerReference r:id="rId3" w:type="default"/>
          <w:pgSz w:w="11906" w:h="16838"/>
          <w:pgMar w:top="1440" w:right="1797" w:bottom="1440" w:left="1797" w:header="851" w:footer="992" w:gutter="0"/>
          <w:pgNumType w:start="1"/>
          <w:cols w:space="425" w:num="1"/>
          <w:docGrid w:type="lines" w:linePitch="312" w:charSpace="0"/>
        </w:sectPr>
      </w:pPr>
    </w:p>
    <w:p>
      <w:pPr>
        <w:spacing w:line="560" w:lineRule="exact"/>
        <w:jc w:val="center"/>
        <w:rPr>
          <w:rFonts w:hint="default" w:ascii="方正小标宋简体" w:hAnsi="宋体" w:eastAsia="方正小标宋简体" w:cs="Times New Roman"/>
          <w:sz w:val="44"/>
          <w:szCs w:val="44"/>
          <w:lang w:val="en-US" w:eastAsia="zh-CN"/>
        </w:rPr>
      </w:pPr>
      <w:r>
        <w:rPr>
          <w:rFonts w:hint="eastAsia" w:ascii="方正小标宋简体" w:hAnsi="宋体" w:eastAsia="方正小标宋简体" w:cs="方正小标宋简体"/>
          <w:sz w:val="44"/>
          <w:szCs w:val="44"/>
        </w:rPr>
        <w:t>黑龙江省工程学校</w:t>
      </w:r>
      <w:r>
        <w:rPr>
          <w:rFonts w:hint="eastAsia" w:ascii="方正小标宋简体" w:hAnsi="宋体" w:eastAsia="方正小标宋简体" w:cs="方正小标宋简体"/>
          <w:sz w:val="44"/>
          <w:szCs w:val="44"/>
          <w:lang w:val="en-US" w:eastAsia="zh-CN"/>
        </w:rPr>
        <w:t>2020年度</w:t>
      </w:r>
    </w:p>
    <w:p>
      <w:pPr>
        <w:spacing w:line="560" w:lineRule="exact"/>
        <w:jc w:val="center"/>
        <w:rPr>
          <w:rFonts w:ascii="方正小标宋简体" w:hAnsi="宋体" w:eastAsia="方正小标宋简体" w:cs="Times New Roman"/>
          <w:sz w:val="44"/>
          <w:szCs w:val="44"/>
        </w:rPr>
      </w:pPr>
      <w:r>
        <w:rPr>
          <w:rFonts w:hint="eastAsia" w:ascii="方正小标宋简体" w:hAnsi="宋体" w:eastAsia="方正小标宋简体" w:cs="方正小标宋简体"/>
          <w:sz w:val="44"/>
          <w:szCs w:val="44"/>
        </w:rPr>
        <w:t>中等职业教育质量报告</w:t>
      </w:r>
    </w:p>
    <w:p>
      <w:pPr>
        <w:ind w:firstLine="560" w:firstLineChars="200"/>
        <w:rPr>
          <w:rFonts w:ascii="宋体" w:hAnsi="宋体" w:eastAsia="宋体" w:cs="Times New Roman"/>
          <w:sz w:val="28"/>
          <w:szCs w:val="28"/>
        </w:rPr>
      </w:pPr>
    </w:p>
    <w:p>
      <w:pPr>
        <w:ind w:firstLine="560" w:firstLineChars="200"/>
        <w:rPr>
          <w:rFonts w:ascii="宋体" w:hAnsi="宋体" w:eastAsia="宋体" w:cs="Times New Roman"/>
          <w:sz w:val="28"/>
          <w:szCs w:val="28"/>
        </w:rPr>
      </w:pPr>
      <w:r>
        <w:rPr>
          <w:rFonts w:hint="eastAsia" w:ascii="宋体" w:hAnsi="宋体" w:eastAsia="宋体" w:cs="宋体"/>
          <w:sz w:val="28"/>
          <w:szCs w:val="28"/>
        </w:rPr>
        <w:t>根据黑龙江省教育厅</w:t>
      </w:r>
      <w:r>
        <w:rPr>
          <w:rFonts w:hint="eastAsia" w:ascii="宋体" w:hAnsi="宋体" w:eastAsia="宋体" w:cs="宋体"/>
          <w:sz w:val="28"/>
          <w:szCs w:val="28"/>
          <w:lang w:eastAsia="zh-CN"/>
        </w:rPr>
        <w:t>《</w:t>
      </w:r>
      <w:r>
        <w:rPr>
          <w:rFonts w:hint="eastAsia" w:ascii="宋体" w:hAnsi="宋体" w:eastAsia="宋体" w:cs="宋体"/>
          <w:sz w:val="28"/>
          <w:szCs w:val="28"/>
        </w:rPr>
        <w:t>关于做好</w:t>
      </w:r>
      <w:r>
        <w:rPr>
          <w:rFonts w:hint="eastAsia" w:ascii="宋体" w:hAnsi="宋体" w:eastAsia="宋体" w:cs="宋体"/>
          <w:sz w:val="28"/>
          <w:szCs w:val="28"/>
          <w:lang w:val="en-US" w:eastAsia="zh-CN"/>
        </w:rPr>
        <w:t>2020</w:t>
      </w:r>
      <w:r>
        <w:rPr>
          <w:rFonts w:hint="eastAsia" w:ascii="宋体" w:hAnsi="宋体" w:eastAsia="宋体" w:cs="宋体"/>
          <w:sz w:val="28"/>
          <w:szCs w:val="28"/>
        </w:rPr>
        <w:t>年度中等职业教育质量报告编制</w:t>
      </w:r>
      <w:r>
        <w:rPr>
          <w:rFonts w:hint="eastAsia" w:ascii="宋体" w:hAnsi="宋体" w:eastAsia="宋体" w:cs="宋体"/>
          <w:sz w:val="28"/>
          <w:szCs w:val="28"/>
          <w:lang w:eastAsia="zh-CN"/>
        </w:rPr>
        <w:t>、</w:t>
      </w:r>
      <w:r>
        <w:rPr>
          <w:rFonts w:hint="eastAsia" w:ascii="宋体" w:hAnsi="宋体" w:eastAsia="宋体" w:cs="宋体"/>
          <w:sz w:val="28"/>
          <w:szCs w:val="28"/>
        </w:rPr>
        <w:t>发布</w:t>
      </w:r>
      <w:r>
        <w:rPr>
          <w:rFonts w:hint="eastAsia" w:ascii="宋体" w:hAnsi="宋体" w:eastAsia="宋体" w:cs="宋体"/>
          <w:sz w:val="28"/>
          <w:szCs w:val="28"/>
          <w:lang w:val="en-US" w:eastAsia="zh-CN"/>
        </w:rPr>
        <w:t>和报送</w:t>
      </w:r>
      <w:r>
        <w:rPr>
          <w:rFonts w:hint="eastAsia" w:ascii="宋体" w:hAnsi="宋体" w:eastAsia="宋体" w:cs="宋体"/>
          <w:sz w:val="28"/>
          <w:szCs w:val="28"/>
        </w:rPr>
        <w:t>工作的通知》文件</w:t>
      </w:r>
      <w:r>
        <w:rPr>
          <w:rFonts w:hint="eastAsia" w:ascii="宋体" w:hAnsi="宋体" w:eastAsia="宋体" w:cs="宋体"/>
          <w:sz w:val="28"/>
          <w:szCs w:val="28"/>
          <w:lang w:val="en-US" w:eastAsia="zh-CN"/>
        </w:rPr>
        <w:t>要求</w:t>
      </w:r>
      <w:r>
        <w:rPr>
          <w:rFonts w:hint="eastAsia" w:ascii="宋体" w:hAnsi="宋体" w:eastAsia="宋体" w:cs="宋体"/>
          <w:sz w:val="28"/>
          <w:szCs w:val="28"/>
        </w:rPr>
        <w:t>，现将本校</w:t>
      </w: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年度中等职业教育质量报告如下。</w:t>
      </w:r>
    </w:p>
    <w:p>
      <w:pPr>
        <w:pStyle w:val="2"/>
        <w:spacing w:before="0" w:after="0" w:line="240" w:lineRule="auto"/>
        <w:ind w:firstLine="640" w:firstLineChars="200"/>
        <w:rPr>
          <w:rFonts w:ascii="黑体" w:hAnsi="黑体" w:eastAsia="黑体" w:cs="Times New Roman"/>
          <w:b w:val="0"/>
          <w:bCs w:val="0"/>
          <w:sz w:val="32"/>
          <w:szCs w:val="32"/>
        </w:rPr>
      </w:pPr>
      <w:bookmarkStart w:id="0" w:name="_Toc471109588"/>
      <w:bookmarkStart w:id="1" w:name="_Toc34123268"/>
      <w:r>
        <w:rPr>
          <w:rFonts w:ascii="黑体" w:hAnsi="黑体" w:eastAsia="黑体" w:cs="黑体"/>
          <w:b w:val="0"/>
          <w:bCs w:val="0"/>
          <w:sz w:val="32"/>
          <w:szCs w:val="32"/>
        </w:rPr>
        <w:t>1.</w:t>
      </w:r>
      <w:bookmarkEnd w:id="0"/>
      <w:r>
        <w:rPr>
          <w:rFonts w:hint="eastAsia" w:ascii="黑体" w:hAnsi="黑体" w:eastAsia="黑体" w:cs="黑体"/>
          <w:b w:val="0"/>
          <w:bCs w:val="0"/>
          <w:sz w:val="32"/>
          <w:szCs w:val="32"/>
        </w:rPr>
        <w:t>学校情况</w:t>
      </w:r>
      <w:bookmarkEnd w:id="1"/>
    </w:p>
    <w:p>
      <w:pPr>
        <w:pStyle w:val="3"/>
        <w:spacing w:before="0" w:after="0" w:line="240" w:lineRule="auto"/>
        <w:ind w:firstLine="560" w:firstLineChars="200"/>
        <w:rPr>
          <w:rFonts w:ascii="宋体" w:hAnsi="宋体" w:eastAsia="宋体" w:cs="Times New Roman"/>
          <w:b w:val="0"/>
          <w:bCs w:val="0"/>
          <w:sz w:val="28"/>
          <w:szCs w:val="28"/>
        </w:rPr>
      </w:pPr>
      <w:bookmarkStart w:id="2" w:name="_Toc471109589"/>
      <w:bookmarkStart w:id="3" w:name="_Toc34123269"/>
      <w:r>
        <w:rPr>
          <w:rFonts w:ascii="宋体" w:hAnsi="宋体" w:eastAsia="宋体" w:cs="宋体"/>
          <w:b w:val="0"/>
          <w:bCs w:val="0"/>
          <w:sz w:val="28"/>
          <w:szCs w:val="28"/>
        </w:rPr>
        <w:t>1.1</w:t>
      </w:r>
      <w:bookmarkEnd w:id="2"/>
      <w:r>
        <w:rPr>
          <w:rFonts w:hint="eastAsia" w:ascii="宋体" w:hAnsi="宋体" w:eastAsia="宋体" w:cs="宋体"/>
          <w:b w:val="0"/>
          <w:bCs w:val="0"/>
          <w:sz w:val="28"/>
          <w:szCs w:val="28"/>
        </w:rPr>
        <w:t>学校概况</w:t>
      </w:r>
      <w:bookmarkEnd w:id="3"/>
    </w:p>
    <w:p>
      <w:pPr>
        <w:ind w:firstLine="560" w:firstLineChars="200"/>
        <w:rPr>
          <w:rFonts w:hint="eastAsia" w:ascii="宋体" w:hAnsi="宋体" w:eastAsia="宋体" w:cs="宋体"/>
          <w:sz w:val="28"/>
          <w:szCs w:val="28"/>
        </w:rPr>
      </w:pPr>
      <w:r>
        <w:rPr>
          <w:rFonts w:hint="eastAsia" w:ascii="宋体" w:hAnsi="宋体" w:eastAsia="宋体" w:cs="宋体"/>
          <w:sz w:val="28"/>
          <w:szCs w:val="28"/>
        </w:rPr>
        <w:t>学校始建于</w:t>
      </w:r>
      <w:r>
        <w:rPr>
          <w:rFonts w:ascii="宋体" w:hAnsi="宋体" w:eastAsia="宋体" w:cs="宋体"/>
          <w:sz w:val="28"/>
          <w:szCs w:val="28"/>
        </w:rPr>
        <w:t>1983</w:t>
      </w:r>
      <w:r>
        <w:rPr>
          <w:rFonts w:hint="eastAsia" w:ascii="宋体" w:hAnsi="宋体" w:eastAsia="宋体" w:cs="宋体"/>
          <w:sz w:val="28"/>
          <w:szCs w:val="28"/>
        </w:rPr>
        <w:t>年，隶属于黑龙江省地质矿产局，位于哈尔滨市香坊区化工路</w:t>
      </w:r>
      <w:r>
        <w:rPr>
          <w:rFonts w:ascii="宋体" w:hAnsi="宋体" w:eastAsia="宋体" w:cs="宋体"/>
          <w:sz w:val="28"/>
          <w:szCs w:val="28"/>
        </w:rPr>
        <w:t>21</w:t>
      </w:r>
      <w:r>
        <w:rPr>
          <w:rFonts w:hint="eastAsia" w:ascii="宋体" w:hAnsi="宋体" w:eastAsia="宋体" w:cs="宋体"/>
          <w:sz w:val="28"/>
          <w:szCs w:val="28"/>
        </w:rPr>
        <w:t>号，是省级重点学校。学校充分依托地矿行业优势，充分发挥服务职能，立足行业，面向社会，培养地矿行业和社会需要的技术技能型人才。办学层次主要包括中等职业教育、成人教育、远程教育（含本、专科），以及企事业单位职工技能培训及各类短期培训。学校坚持以服务为宗旨，以就业为导向，以质量为核心，开展工学结合、校企合作的办学模式，深化教育教学改革，注重人才培养质量，积极为地方经济发展服务。学校是省直机关文明单位标兵、职业教育先进单位。学校占地面积</w:t>
      </w:r>
      <w:r>
        <w:rPr>
          <w:rFonts w:ascii="宋体" w:hAnsi="宋体" w:eastAsia="宋体" w:cs="宋体"/>
          <w:sz w:val="28"/>
          <w:szCs w:val="28"/>
        </w:rPr>
        <w:t>3.2</w:t>
      </w:r>
      <w:r>
        <w:rPr>
          <w:rFonts w:hint="eastAsia" w:ascii="宋体" w:hAnsi="宋体" w:eastAsia="宋体" w:cs="宋体"/>
          <w:sz w:val="28"/>
          <w:szCs w:val="28"/>
          <w:lang w:val="en-US" w:eastAsia="zh-CN"/>
        </w:rPr>
        <w:t>7</w:t>
      </w:r>
      <w:r>
        <w:rPr>
          <w:rFonts w:hint="eastAsia" w:ascii="宋体" w:hAnsi="宋体" w:eastAsia="宋体" w:cs="宋体"/>
          <w:sz w:val="28"/>
          <w:szCs w:val="28"/>
        </w:rPr>
        <w:t>万平方米，建筑面积</w:t>
      </w:r>
      <w:r>
        <w:rPr>
          <w:rFonts w:ascii="宋体" w:hAnsi="宋体" w:eastAsia="宋体" w:cs="宋体"/>
          <w:sz w:val="28"/>
          <w:szCs w:val="28"/>
        </w:rPr>
        <w:t>2.3</w:t>
      </w:r>
      <w:r>
        <w:rPr>
          <w:rFonts w:hint="eastAsia" w:ascii="宋体" w:hAnsi="宋体" w:eastAsia="宋体" w:cs="宋体"/>
          <w:sz w:val="28"/>
          <w:szCs w:val="28"/>
          <w:lang w:val="en-US" w:eastAsia="zh-CN"/>
        </w:rPr>
        <w:t>7</w:t>
      </w:r>
      <w:r>
        <w:rPr>
          <w:rFonts w:ascii="宋体" w:hAnsi="宋体" w:eastAsia="宋体" w:cs="宋体"/>
          <w:sz w:val="28"/>
          <w:szCs w:val="28"/>
        </w:rPr>
        <w:t xml:space="preserve"> </w:t>
      </w:r>
      <w:r>
        <w:rPr>
          <w:rFonts w:hint="eastAsia" w:ascii="宋体" w:hAnsi="宋体" w:eastAsia="宋体" w:cs="宋体"/>
          <w:sz w:val="28"/>
          <w:szCs w:val="28"/>
        </w:rPr>
        <w:t>万平方米，资产总计</w:t>
      </w:r>
      <w:r>
        <w:rPr>
          <w:rFonts w:ascii="宋体" w:hAnsi="宋体" w:eastAsia="宋体" w:cs="宋体"/>
          <w:sz w:val="28"/>
          <w:szCs w:val="28"/>
        </w:rPr>
        <w:t>24</w:t>
      </w:r>
      <w:r>
        <w:rPr>
          <w:rFonts w:hint="eastAsia" w:ascii="宋体" w:hAnsi="宋体" w:eastAsia="宋体" w:cs="宋体"/>
          <w:sz w:val="28"/>
          <w:szCs w:val="28"/>
          <w:lang w:val="en-US" w:eastAsia="zh-CN"/>
        </w:rPr>
        <w:t>13.31</w:t>
      </w:r>
      <w:r>
        <w:rPr>
          <w:rFonts w:hint="eastAsia" w:ascii="宋体" w:hAnsi="宋体" w:eastAsia="宋体" w:cs="宋体"/>
          <w:sz w:val="28"/>
          <w:szCs w:val="28"/>
        </w:rPr>
        <w:t>万元。</w:t>
      </w:r>
    </w:p>
    <w:p>
      <w:pPr>
        <w:pStyle w:val="3"/>
        <w:spacing w:before="0" w:after="0" w:line="240" w:lineRule="auto"/>
        <w:ind w:firstLine="560" w:firstLineChars="200"/>
        <w:rPr>
          <w:rFonts w:ascii="宋体" w:hAnsi="宋体" w:eastAsia="宋体" w:cs="Times New Roman"/>
          <w:sz w:val="28"/>
          <w:szCs w:val="28"/>
        </w:rPr>
      </w:pPr>
      <w:bookmarkStart w:id="4" w:name="_Toc471109590"/>
      <w:bookmarkStart w:id="5" w:name="_Toc34123270"/>
      <w:r>
        <w:rPr>
          <w:rFonts w:ascii="宋体" w:hAnsi="宋体" w:eastAsia="宋体" w:cs="宋体"/>
          <w:b w:val="0"/>
          <w:bCs w:val="0"/>
          <w:sz w:val="28"/>
          <w:szCs w:val="28"/>
        </w:rPr>
        <w:t>1.2</w:t>
      </w:r>
      <w:bookmarkEnd w:id="4"/>
      <w:r>
        <w:rPr>
          <w:rFonts w:hint="eastAsia" w:ascii="宋体" w:hAnsi="宋体" w:eastAsia="宋体" w:cs="宋体"/>
          <w:b w:val="0"/>
          <w:bCs w:val="0"/>
          <w:sz w:val="28"/>
          <w:szCs w:val="28"/>
        </w:rPr>
        <w:t>学生情况</w:t>
      </w:r>
      <w:bookmarkEnd w:id="5"/>
    </w:p>
    <w:p>
      <w:pPr>
        <w:ind w:firstLine="560" w:firstLineChars="200"/>
        <w:rPr>
          <w:rFonts w:hint="eastAsia" w:ascii="宋体" w:hAnsi="宋体" w:eastAsia="宋体" w:cs="宋体"/>
          <w:color w:val="auto"/>
          <w:sz w:val="28"/>
          <w:szCs w:val="28"/>
          <w:highlight w:val="none"/>
        </w:rPr>
      </w:pPr>
      <w:bookmarkStart w:id="6" w:name="_Toc471109591"/>
      <w:r>
        <w:rPr>
          <w:rFonts w:hint="eastAsia" w:ascii="宋体" w:hAnsi="宋体" w:eastAsia="宋体" w:cs="宋体"/>
          <w:color w:val="auto"/>
          <w:sz w:val="28"/>
          <w:szCs w:val="28"/>
          <w:highlight w:val="none"/>
        </w:rPr>
        <w:t>学校现有全日制在校生</w:t>
      </w:r>
      <w:r>
        <w:rPr>
          <w:rFonts w:hint="eastAsia" w:ascii="宋体" w:hAnsi="宋体" w:eastAsia="宋体" w:cs="宋体"/>
          <w:color w:val="auto"/>
          <w:sz w:val="28"/>
          <w:szCs w:val="28"/>
          <w:highlight w:val="none"/>
          <w:lang w:val="en-US" w:eastAsia="zh-CN"/>
        </w:rPr>
        <w:t>250</w:t>
      </w:r>
      <w:r>
        <w:rPr>
          <w:rFonts w:hint="eastAsia" w:ascii="宋体" w:hAnsi="宋体" w:eastAsia="宋体" w:cs="宋体"/>
          <w:color w:val="auto"/>
          <w:sz w:val="28"/>
          <w:szCs w:val="28"/>
          <w:highlight w:val="none"/>
        </w:rPr>
        <w:t>人，</w:t>
      </w:r>
      <w:r>
        <w:rPr>
          <w:rFonts w:ascii="宋体" w:hAnsi="宋体" w:eastAsia="宋体" w:cs="宋体"/>
          <w:color w:val="auto"/>
          <w:sz w:val="28"/>
          <w:szCs w:val="28"/>
          <w:highlight w:val="none"/>
        </w:rPr>
        <w:t>201</w:t>
      </w:r>
      <w:r>
        <w:rPr>
          <w:rFonts w:hint="eastAsia" w:ascii="宋体" w:hAnsi="宋体" w:eastAsia="宋体" w:cs="宋体"/>
          <w:color w:val="auto"/>
          <w:sz w:val="28"/>
          <w:szCs w:val="28"/>
          <w:highlight w:val="none"/>
          <w:lang w:val="en-US" w:eastAsia="zh-CN"/>
        </w:rPr>
        <w:t>9</w:t>
      </w:r>
      <w:r>
        <w:rPr>
          <w:rFonts w:hint="eastAsia" w:ascii="宋体" w:hAnsi="宋体" w:eastAsia="宋体" w:cs="宋体"/>
          <w:color w:val="auto"/>
          <w:sz w:val="28"/>
          <w:szCs w:val="28"/>
          <w:highlight w:val="none"/>
        </w:rPr>
        <w:t>年招生</w:t>
      </w:r>
      <w:r>
        <w:rPr>
          <w:rFonts w:hint="eastAsia" w:ascii="宋体" w:hAnsi="宋体" w:eastAsia="宋体" w:cs="宋体"/>
          <w:color w:val="auto"/>
          <w:sz w:val="28"/>
          <w:szCs w:val="28"/>
          <w:highlight w:val="none"/>
          <w:lang w:val="en-US" w:eastAsia="zh-CN"/>
        </w:rPr>
        <w:t>156</w:t>
      </w:r>
      <w:r>
        <w:rPr>
          <w:rFonts w:hint="eastAsia" w:ascii="宋体" w:hAnsi="宋体" w:eastAsia="宋体" w:cs="宋体"/>
          <w:color w:val="auto"/>
          <w:sz w:val="28"/>
          <w:szCs w:val="28"/>
          <w:highlight w:val="none"/>
        </w:rPr>
        <w:t>人，比</w:t>
      </w:r>
      <w:r>
        <w:rPr>
          <w:rFonts w:ascii="宋体" w:hAnsi="宋体" w:eastAsia="宋体" w:cs="宋体"/>
          <w:color w:val="auto"/>
          <w:sz w:val="28"/>
          <w:szCs w:val="28"/>
          <w:highlight w:val="none"/>
        </w:rPr>
        <w:t>201</w:t>
      </w:r>
      <w:r>
        <w:rPr>
          <w:rFonts w:hint="eastAsia" w:ascii="宋体" w:hAnsi="宋体" w:eastAsia="宋体" w:cs="宋体"/>
          <w:color w:val="auto"/>
          <w:sz w:val="28"/>
          <w:szCs w:val="28"/>
          <w:highlight w:val="none"/>
          <w:lang w:val="en-US" w:eastAsia="zh-CN"/>
        </w:rPr>
        <w:t>8</w:t>
      </w:r>
      <w:r>
        <w:rPr>
          <w:rFonts w:hint="eastAsia" w:ascii="宋体" w:hAnsi="宋体" w:eastAsia="宋体" w:cs="宋体"/>
          <w:color w:val="auto"/>
          <w:sz w:val="28"/>
          <w:szCs w:val="28"/>
          <w:highlight w:val="none"/>
        </w:rPr>
        <w:t>年增加</w:t>
      </w:r>
      <w:r>
        <w:rPr>
          <w:rFonts w:hint="eastAsia" w:ascii="宋体" w:hAnsi="宋体" w:eastAsia="宋体" w:cs="宋体"/>
          <w:color w:val="auto"/>
          <w:sz w:val="28"/>
          <w:szCs w:val="28"/>
          <w:highlight w:val="none"/>
          <w:lang w:val="en-US" w:eastAsia="zh-CN"/>
        </w:rPr>
        <w:t>79</w:t>
      </w:r>
      <w:r>
        <w:rPr>
          <w:rFonts w:hint="eastAsia" w:ascii="宋体" w:hAnsi="宋体" w:eastAsia="宋体" w:cs="宋体"/>
          <w:color w:val="auto"/>
          <w:sz w:val="28"/>
          <w:szCs w:val="28"/>
          <w:highlight w:val="none"/>
        </w:rPr>
        <w:t>人，</w:t>
      </w:r>
      <w:r>
        <w:rPr>
          <w:rFonts w:ascii="宋体" w:hAnsi="宋体" w:eastAsia="宋体" w:cs="宋体"/>
          <w:color w:val="auto"/>
          <w:sz w:val="28"/>
          <w:szCs w:val="28"/>
          <w:highlight w:val="none"/>
        </w:rPr>
        <w:t>201</w:t>
      </w:r>
      <w:r>
        <w:rPr>
          <w:rFonts w:hint="eastAsia" w:ascii="宋体" w:hAnsi="宋体" w:eastAsia="宋体" w:cs="宋体"/>
          <w:color w:val="auto"/>
          <w:sz w:val="28"/>
          <w:szCs w:val="28"/>
          <w:highlight w:val="none"/>
          <w:lang w:val="en-US" w:eastAsia="zh-CN"/>
        </w:rPr>
        <w:t>9</w:t>
      </w:r>
      <w:r>
        <w:rPr>
          <w:rFonts w:hint="eastAsia" w:ascii="宋体" w:hAnsi="宋体" w:eastAsia="宋体" w:cs="宋体"/>
          <w:color w:val="auto"/>
          <w:sz w:val="28"/>
          <w:szCs w:val="28"/>
          <w:highlight w:val="none"/>
        </w:rPr>
        <w:t>年招收的学生主要来自黑龙江，</w:t>
      </w:r>
      <w:r>
        <w:rPr>
          <w:rFonts w:hint="eastAsia" w:ascii="宋体" w:hAnsi="宋体" w:eastAsia="宋体" w:cs="宋体"/>
          <w:color w:val="auto"/>
          <w:sz w:val="28"/>
          <w:szCs w:val="28"/>
          <w:highlight w:val="none"/>
          <w:lang w:val="en-US" w:eastAsia="zh-CN"/>
        </w:rPr>
        <w:t>本地区高中生招收5人，</w:t>
      </w:r>
      <w:r>
        <w:rPr>
          <w:rFonts w:hint="eastAsia" w:ascii="宋体" w:hAnsi="宋体" w:eastAsia="宋体" w:cs="宋体"/>
          <w:color w:val="auto"/>
          <w:sz w:val="28"/>
          <w:szCs w:val="28"/>
          <w:highlight w:val="none"/>
        </w:rPr>
        <w:t>学生大部分是应往届初中毕业生；</w:t>
      </w:r>
      <w:r>
        <w:rPr>
          <w:rFonts w:ascii="宋体" w:hAnsi="宋体" w:eastAsia="宋体" w:cs="宋体"/>
          <w:color w:val="auto"/>
          <w:sz w:val="28"/>
          <w:szCs w:val="28"/>
          <w:highlight w:val="none"/>
        </w:rPr>
        <w:t>20</w:t>
      </w:r>
      <w:r>
        <w:rPr>
          <w:rFonts w:hint="eastAsia" w:ascii="宋体" w:hAnsi="宋体" w:eastAsia="宋体" w:cs="宋体"/>
          <w:color w:val="auto"/>
          <w:sz w:val="28"/>
          <w:szCs w:val="28"/>
          <w:highlight w:val="none"/>
          <w:lang w:val="en-US" w:eastAsia="zh-CN"/>
        </w:rPr>
        <w:t>20</w:t>
      </w:r>
      <w:r>
        <w:rPr>
          <w:rFonts w:hint="eastAsia" w:ascii="宋体" w:hAnsi="宋体" w:eastAsia="宋体" w:cs="宋体"/>
          <w:color w:val="auto"/>
          <w:sz w:val="28"/>
          <w:szCs w:val="28"/>
          <w:highlight w:val="none"/>
        </w:rPr>
        <w:t>年毕业生</w:t>
      </w:r>
      <w:r>
        <w:rPr>
          <w:rFonts w:hint="eastAsia" w:ascii="宋体" w:hAnsi="宋体" w:eastAsia="宋体" w:cs="宋体"/>
          <w:color w:val="auto"/>
          <w:sz w:val="28"/>
          <w:szCs w:val="28"/>
          <w:highlight w:val="none"/>
          <w:lang w:val="en-US" w:eastAsia="zh-CN"/>
        </w:rPr>
        <w:t>35</w:t>
      </w:r>
      <w:r>
        <w:rPr>
          <w:rFonts w:hint="eastAsia" w:ascii="宋体" w:hAnsi="宋体" w:eastAsia="宋体" w:cs="宋体"/>
          <w:color w:val="auto"/>
          <w:sz w:val="28"/>
          <w:szCs w:val="28"/>
          <w:highlight w:val="none"/>
        </w:rPr>
        <w:t>人，毕业生巩固率</w:t>
      </w:r>
      <w:r>
        <w:rPr>
          <w:rFonts w:hint="eastAsia" w:ascii="宋体" w:hAnsi="宋体" w:eastAsia="宋体" w:cs="宋体"/>
          <w:color w:val="auto"/>
          <w:sz w:val="28"/>
          <w:szCs w:val="28"/>
          <w:highlight w:val="none"/>
          <w:lang w:val="en-US" w:eastAsia="zh-CN"/>
        </w:rPr>
        <w:t>87.5</w:t>
      </w:r>
      <w:r>
        <w:rPr>
          <w:rFonts w:ascii="宋体" w:hAnsi="宋体" w:eastAsia="宋体" w:cs="宋体"/>
          <w:color w:val="auto"/>
          <w:sz w:val="28"/>
          <w:szCs w:val="28"/>
          <w:highlight w:val="none"/>
        </w:rPr>
        <w:t>%</w:t>
      </w:r>
      <w:r>
        <w:rPr>
          <w:rFonts w:hint="eastAsia" w:ascii="宋体" w:hAnsi="宋体" w:eastAsia="宋体" w:cs="宋体"/>
          <w:color w:val="auto"/>
          <w:sz w:val="28"/>
          <w:szCs w:val="28"/>
          <w:highlight w:val="none"/>
        </w:rPr>
        <w:t>，比</w:t>
      </w:r>
      <w:r>
        <w:rPr>
          <w:rFonts w:hint="eastAsia" w:ascii="宋体" w:hAnsi="宋体" w:eastAsia="宋体" w:cs="宋体"/>
          <w:color w:val="auto"/>
          <w:sz w:val="28"/>
          <w:szCs w:val="28"/>
          <w:highlight w:val="none"/>
          <w:lang w:val="en-US" w:eastAsia="zh-CN"/>
        </w:rPr>
        <w:t>2019</w:t>
      </w:r>
      <w:r>
        <w:rPr>
          <w:rFonts w:hint="eastAsia" w:ascii="宋体" w:hAnsi="宋体" w:eastAsia="宋体" w:cs="宋体"/>
          <w:color w:val="auto"/>
          <w:sz w:val="28"/>
          <w:szCs w:val="28"/>
          <w:highlight w:val="none"/>
        </w:rPr>
        <w:t>年</w:t>
      </w:r>
      <w:r>
        <w:rPr>
          <w:rFonts w:hint="eastAsia" w:ascii="宋体" w:hAnsi="宋体" w:eastAsia="宋体" w:cs="宋体"/>
          <w:color w:val="auto"/>
          <w:sz w:val="28"/>
          <w:szCs w:val="28"/>
          <w:highlight w:val="none"/>
          <w:lang w:val="en-US" w:eastAsia="zh-CN"/>
        </w:rPr>
        <w:t>下降</w:t>
      </w:r>
      <w:r>
        <w:rPr>
          <w:rFonts w:hint="eastAsia" w:ascii="宋体" w:hAnsi="宋体" w:eastAsia="宋体" w:cs="宋体"/>
          <w:color w:val="auto"/>
          <w:sz w:val="28"/>
          <w:szCs w:val="28"/>
          <w:highlight w:val="none"/>
        </w:rPr>
        <w:t>了</w:t>
      </w:r>
      <w:r>
        <w:rPr>
          <w:rFonts w:hint="eastAsia" w:ascii="宋体" w:hAnsi="宋体" w:eastAsia="宋体" w:cs="宋体"/>
          <w:color w:val="auto"/>
          <w:sz w:val="28"/>
          <w:szCs w:val="28"/>
          <w:highlight w:val="none"/>
          <w:lang w:val="en-US" w:eastAsia="zh-CN"/>
        </w:rPr>
        <w:t>6.9</w:t>
      </w:r>
      <w:r>
        <w:rPr>
          <w:rFonts w:ascii="宋体" w:hAnsi="宋体" w:eastAsia="宋体" w:cs="宋体"/>
          <w:color w:val="auto"/>
          <w:sz w:val="28"/>
          <w:szCs w:val="28"/>
          <w:highlight w:val="none"/>
        </w:rPr>
        <w:t>%</w:t>
      </w:r>
      <w:r>
        <w:rPr>
          <w:rFonts w:hint="eastAsia" w:ascii="宋体" w:hAnsi="宋体" w:eastAsia="宋体" w:cs="宋体"/>
          <w:color w:val="auto"/>
          <w:sz w:val="28"/>
          <w:szCs w:val="28"/>
          <w:highlight w:val="none"/>
        </w:rPr>
        <w:t>。</w:t>
      </w:r>
    </w:p>
    <w:p>
      <w:pPr>
        <w:ind w:firstLine="640" w:firstLineChars="200"/>
        <w:rPr>
          <w:rFonts w:hint="eastAsia" w:ascii="宋体" w:hAnsi="宋体" w:eastAsia="宋体" w:cs="宋体"/>
          <w:color w:val="auto"/>
          <w:sz w:val="28"/>
          <w:szCs w:val="28"/>
          <w:highlight w:val="none"/>
          <w:lang w:val="en-US" w:eastAsia="zh-CN"/>
        </w:rPr>
      </w:pPr>
      <w:r>
        <w:drawing>
          <wp:inline distT="0" distB="0" distL="114300" distR="114300">
            <wp:extent cx="4700905" cy="2858770"/>
            <wp:effectExtent l="4445" t="5080" r="19050" b="46990"/>
            <wp:docPr id="2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pPr>
        <w:jc w:val="center"/>
        <w:rPr>
          <w:rFonts w:ascii="宋体" w:hAnsi="宋体" w:eastAsia="宋体" w:cs="Times New Roman"/>
          <w:sz w:val="28"/>
          <w:szCs w:val="28"/>
        </w:rPr>
      </w:pP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图</w:t>
      </w:r>
      <w:r>
        <w:rPr>
          <w:rFonts w:ascii="宋体" w:hAnsi="宋体" w:eastAsia="宋体" w:cs="宋体"/>
          <w:sz w:val="28"/>
          <w:szCs w:val="28"/>
        </w:rPr>
        <w:t>1</w:t>
      </w:r>
      <w:r>
        <w:rPr>
          <w:rFonts w:hint="eastAsia" w:ascii="宋体" w:hAnsi="宋体" w:eastAsia="宋体" w:cs="宋体"/>
          <w:sz w:val="28"/>
          <w:szCs w:val="28"/>
        </w:rPr>
        <w:t>学校规模结构情况</w:t>
      </w:r>
    </w:p>
    <w:p>
      <w:pPr>
        <w:pStyle w:val="3"/>
        <w:spacing w:before="0" w:after="0" w:line="240" w:lineRule="auto"/>
        <w:ind w:firstLine="560" w:firstLineChars="200"/>
        <w:rPr>
          <w:rFonts w:ascii="宋体" w:hAnsi="宋体" w:eastAsia="宋体" w:cs="Times New Roman"/>
          <w:b w:val="0"/>
          <w:bCs w:val="0"/>
          <w:color w:val="000000"/>
          <w:sz w:val="28"/>
          <w:szCs w:val="28"/>
        </w:rPr>
      </w:pPr>
      <w:bookmarkStart w:id="7" w:name="_Toc34123271"/>
      <w:r>
        <w:rPr>
          <w:rFonts w:ascii="宋体" w:hAnsi="宋体" w:eastAsia="宋体" w:cs="宋体"/>
          <w:b w:val="0"/>
          <w:bCs w:val="0"/>
          <w:color w:val="000000"/>
          <w:sz w:val="28"/>
          <w:szCs w:val="28"/>
        </w:rPr>
        <w:t>1.3</w:t>
      </w:r>
      <w:bookmarkEnd w:id="6"/>
      <w:r>
        <w:rPr>
          <w:rFonts w:hint="eastAsia" w:ascii="宋体" w:hAnsi="宋体" w:eastAsia="宋体" w:cs="宋体"/>
          <w:b w:val="0"/>
          <w:bCs w:val="0"/>
          <w:color w:val="000000"/>
          <w:sz w:val="28"/>
          <w:szCs w:val="28"/>
        </w:rPr>
        <w:t>教师队伍</w:t>
      </w:r>
      <w:bookmarkEnd w:id="7"/>
    </w:p>
    <w:p>
      <w:pPr>
        <w:ind w:firstLine="560" w:firstLineChars="200"/>
        <w:rPr>
          <w:rFonts w:ascii="宋体" w:hAnsi="宋体" w:eastAsia="宋体" w:cs="Times New Roman"/>
          <w:sz w:val="28"/>
          <w:szCs w:val="28"/>
        </w:rPr>
      </w:pPr>
      <w:bookmarkStart w:id="8" w:name="_Toc535586416"/>
      <w:bookmarkStart w:id="9" w:name="_Toc471109592"/>
      <w:r>
        <w:rPr>
          <w:rFonts w:hint="eastAsia" w:ascii="宋体" w:hAnsi="宋体" w:eastAsia="宋体" w:cs="宋体"/>
          <w:sz w:val="28"/>
          <w:szCs w:val="28"/>
          <w:lang w:val="en-US" w:eastAsia="zh-CN"/>
        </w:rPr>
        <w:t>学校现有教职工8</w:t>
      </w:r>
      <w:r>
        <w:rPr>
          <w:rFonts w:hint="default" w:ascii="宋体" w:hAnsi="宋体" w:eastAsia="宋体" w:cs="宋体"/>
          <w:sz w:val="28"/>
          <w:szCs w:val="28"/>
          <w:lang w:val="en-US" w:eastAsia="zh-CN"/>
        </w:rPr>
        <w:t>3</w:t>
      </w:r>
      <w:r>
        <w:rPr>
          <w:rFonts w:hint="eastAsia" w:ascii="宋体" w:hAnsi="宋体" w:eastAsia="宋体" w:cs="宋体"/>
          <w:sz w:val="28"/>
          <w:szCs w:val="28"/>
          <w:lang w:val="en-US" w:eastAsia="zh-CN"/>
        </w:rPr>
        <w:t>人，专任教师46人，专业教师28人，全部为本科以上学历，其中研究生9人，占专任教师的19.6%。具有高级职称29人，占专任教师的63%；</w:t>
      </w:r>
      <w:r>
        <w:rPr>
          <w:rFonts w:hint="eastAsia" w:ascii="宋体" w:hAnsi="宋体" w:eastAsia="宋体" w:cs="宋体"/>
          <w:sz w:val="28"/>
          <w:szCs w:val="28"/>
        </w:rPr>
        <w:t>“双师型”教师</w:t>
      </w:r>
      <w:r>
        <w:rPr>
          <w:rFonts w:hint="eastAsia" w:ascii="宋体" w:hAnsi="宋体" w:eastAsia="宋体" w:cs="宋体"/>
          <w:sz w:val="28"/>
          <w:szCs w:val="28"/>
          <w:lang w:val="en-US" w:eastAsia="zh-CN"/>
        </w:rPr>
        <w:t>26</w:t>
      </w:r>
      <w:r>
        <w:rPr>
          <w:rFonts w:hint="eastAsia" w:ascii="宋体" w:hAnsi="宋体" w:eastAsia="宋体" w:cs="宋体"/>
          <w:sz w:val="28"/>
          <w:szCs w:val="28"/>
        </w:rPr>
        <w:t>人，占专任专业教师比为</w:t>
      </w:r>
      <w:r>
        <w:rPr>
          <w:rFonts w:hint="eastAsia" w:ascii="宋体" w:hAnsi="宋体" w:eastAsia="宋体" w:cs="宋体"/>
          <w:sz w:val="28"/>
          <w:szCs w:val="28"/>
          <w:lang w:val="en-US" w:eastAsia="zh-CN"/>
        </w:rPr>
        <w:t>93</w:t>
      </w:r>
      <w:r>
        <w:rPr>
          <w:rFonts w:ascii="宋体" w:hAnsi="宋体" w:eastAsia="宋体" w:cs="宋体"/>
          <w:sz w:val="28"/>
          <w:szCs w:val="28"/>
        </w:rPr>
        <w:t>%</w:t>
      </w:r>
      <w:r>
        <w:rPr>
          <w:rFonts w:hint="eastAsia" w:ascii="宋体" w:hAnsi="宋体" w:eastAsia="宋体" w:cs="宋体"/>
          <w:sz w:val="28"/>
          <w:szCs w:val="28"/>
        </w:rPr>
        <w:t>；兼职教师</w:t>
      </w:r>
      <w:r>
        <w:rPr>
          <w:rFonts w:hint="eastAsia" w:ascii="宋体" w:hAnsi="宋体" w:eastAsia="宋体" w:cs="宋体"/>
          <w:sz w:val="28"/>
          <w:szCs w:val="28"/>
          <w:lang w:val="en-US" w:eastAsia="zh-CN"/>
        </w:rPr>
        <w:t>3</w:t>
      </w:r>
      <w:r>
        <w:rPr>
          <w:rFonts w:hint="eastAsia" w:ascii="宋体" w:hAnsi="宋体" w:eastAsia="宋体" w:cs="宋体"/>
          <w:sz w:val="28"/>
          <w:szCs w:val="28"/>
        </w:rPr>
        <w:t>名，占专任教师</w:t>
      </w:r>
      <w:r>
        <w:rPr>
          <w:rFonts w:hint="eastAsia" w:ascii="宋体" w:hAnsi="宋体" w:eastAsia="宋体" w:cs="宋体"/>
          <w:sz w:val="28"/>
          <w:szCs w:val="28"/>
          <w:lang w:val="en-US" w:eastAsia="zh-CN"/>
        </w:rPr>
        <w:t>6.5</w:t>
      </w:r>
      <w:r>
        <w:rPr>
          <w:rFonts w:ascii="宋体" w:hAnsi="宋体" w:eastAsia="宋体" w:cs="宋体"/>
          <w:sz w:val="28"/>
          <w:szCs w:val="28"/>
        </w:rPr>
        <w:t>%</w:t>
      </w:r>
      <w:r>
        <w:rPr>
          <w:rFonts w:hint="eastAsia" w:ascii="宋体" w:hAnsi="宋体" w:eastAsia="宋体" w:cs="宋体"/>
          <w:sz w:val="28"/>
          <w:szCs w:val="28"/>
        </w:rPr>
        <w:t>。</w:t>
      </w:r>
    </w:p>
    <w:p>
      <w:pPr>
        <w:ind w:firstLine="640" w:firstLineChars="200"/>
        <w:rPr>
          <w:rFonts w:ascii="宋体" w:hAnsi="宋体" w:eastAsia="宋体" w:cs="Times New Roman"/>
          <w:sz w:val="28"/>
          <w:szCs w:val="28"/>
        </w:rPr>
      </w:pPr>
      <w:r>
        <w:drawing>
          <wp:inline distT="0" distB="0" distL="114300" distR="114300">
            <wp:extent cx="4761865" cy="2439035"/>
            <wp:effectExtent l="4445" t="5080" r="19050" b="40005"/>
            <wp:docPr id="2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bookmarkEnd w:id="8"/>
    <w:p>
      <w:pPr>
        <w:jc w:val="center"/>
        <w:rPr>
          <w:rFonts w:ascii="宋体" w:hAnsi="宋体" w:eastAsia="宋体" w:cs="Times New Roman"/>
          <w:sz w:val="28"/>
          <w:szCs w:val="28"/>
        </w:rPr>
      </w:pPr>
      <w:r>
        <w:rPr>
          <w:rFonts w:hint="eastAsia" w:ascii="宋体" w:hAnsi="宋体" w:eastAsia="宋体" w:cs="宋体"/>
          <w:sz w:val="28"/>
          <w:szCs w:val="28"/>
        </w:rPr>
        <w:t>图</w:t>
      </w:r>
      <w:r>
        <w:rPr>
          <w:rFonts w:ascii="宋体" w:hAnsi="宋体" w:eastAsia="宋体" w:cs="宋体"/>
          <w:sz w:val="28"/>
          <w:szCs w:val="28"/>
        </w:rPr>
        <w:t>2</w:t>
      </w:r>
      <w:r>
        <w:rPr>
          <w:rFonts w:hint="eastAsia" w:ascii="宋体" w:hAnsi="宋体" w:eastAsia="宋体" w:cs="宋体"/>
          <w:sz w:val="28"/>
          <w:szCs w:val="28"/>
        </w:rPr>
        <w:t>教师队伍总体情况</w:t>
      </w:r>
    </w:p>
    <w:p>
      <w:pPr>
        <w:pStyle w:val="3"/>
        <w:spacing w:before="0" w:after="0" w:line="240" w:lineRule="auto"/>
        <w:ind w:firstLine="560" w:firstLineChars="200"/>
        <w:rPr>
          <w:rFonts w:ascii="宋体" w:hAnsi="宋体" w:eastAsia="宋体" w:cs="Times New Roman"/>
          <w:b w:val="0"/>
          <w:bCs w:val="0"/>
          <w:color w:val="000000"/>
          <w:sz w:val="28"/>
          <w:szCs w:val="28"/>
        </w:rPr>
      </w:pPr>
      <w:bookmarkStart w:id="10" w:name="_Toc34123272"/>
      <w:r>
        <w:rPr>
          <w:rFonts w:ascii="宋体" w:hAnsi="宋体" w:eastAsia="宋体" w:cs="宋体"/>
          <w:b w:val="0"/>
          <w:bCs w:val="0"/>
          <w:color w:val="000000"/>
          <w:sz w:val="28"/>
          <w:szCs w:val="28"/>
        </w:rPr>
        <w:t>1.4</w:t>
      </w:r>
      <w:bookmarkEnd w:id="9"/>
      <w:r>
        <w:rPr>
          <w:rFonts w:hint="eastAsia" w:ascii="宋体" w:hAnsi="宋体" w:eastAsia="宋体" w:cs="宋体"/>
          <w:b w:val="0"/>
          <w:bCs w:val="0"/>
          <w:color w:val="000000"/>
          <w:sz w:val="28"/>
          <w:szCs w:val="28"/>
        </w:rPr>
        <w:t>设施设备</w:t>
      </w:r>
      <w:bookmarkEnd w:id="10"/>
    </w:p>
    <w:p>
      <w:pPr>
        <w:ind w:firstLine="560" w:firstLineChars="200"/>
        <w:rPr>
          <w:rFonts w:ascii="宋体" w:hAnsi="宋体" w:eastAsia="宋体" w:cs="Times New Roman"/>
          <w:sz w:val="28"/>
          <w:szCs w:val="28"/>
        </w:rPr>
      </w:pPr>
      <w:bookmarkStart w:id="11" w:name="_Toc535586419"/>
      <w:r>
        <w:rPr>
          <w:rFonts w:hint="eastAsia" w:ascii="宋体" w:hAnsi="宋体" w:eastAsia="宋体" w:cs="宋体"/>
          <w:sz w:val="28"/>
          <w:szCs w:val="28"/>
        </w:rPr>
        <w:t>学校</w:t>
      </w:r>
      <w:r>
        <w:rPr>
          <w:rFonts w:ascii="宋体" w:hAnsi="宋体" w:eastAsia="宋体" w:cs="宋体"/>
          <w:sz w:val="28"/>
          <w:szCs w:val="28"/>
        </w:rPr>
        <w:t>20</w:t>
      </w:r>
      <w:r>
        <w:rPr>
          <w:rFonts w:hint="eastAsia" w:ascii="宋体" w:hAnsi="宋体" w:eastAsia="宋体" w:cs="宋体"/>
          <w:sz w:val="28"/>
          <w:szCs w:val="28"/>
          <w:lang w:val="en-US" w:eastAsia="zh-CN"/>
        </w:rPr>
        <w:t>19</w:t>
      </w:r>
      <w:r>
        <w:rPr>
          <w:rFonts w:hint="eastAsia" w:ascii="宋体" w:hAnsi="宋体" w:eastAsia="宋体" w:cs="宋体"/>
          <w:sz w:val="28"/>
          <w:szCs w:val="28"/>
        </w:rPr>
        <w:t>年教学仪器设备总值</w:t>
      </w:r>
      <w:r>
        <w:rPr>
          <w:rFonts w:ascii="宋体" w:hAnsi="宋体" w:eastAsia="宋体" w:cs="宋体"/>
          <w:sz w:val="28"/>
          <w:szCs w:val="28"/>
        </w:rPr>
        <w:t>1256.71</w:t>
      </w:r>
      <w:r>
        <w:rPr>
          <w:rFonts w:hint="eastAsia" w:ascii="宋体" w:hAnsi="宋体" w:eastAsia="宋体" w:cs="宋体"/>
          <w:sz w:val="28"/>
          <w:szCs w:val="28"/>
        </w:rPr>
        <w:t>万元，</w:t>
      </w: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年教学仪器设备总值</w:t>
      </w:r>
      <w:r>
        <w:rPr>
          <w:rFonts w:hint="eastAsia" w:ascii="宋体" w:hAnsi="宋体" w:eastAsia="宋体" w:cs="宋体"/>
          <w:sz w:val="28"/>
          <w:szCs w:val="28"/>
          <w:lang w:val="en-US" w:eastAsia="zh-CN"/>
        </w:rPr>
        <w:t>1378.59</w:t>
      </w:r>
      <w:r>
        <w:rPr>
          <w:rFonts w:hint="eastAsia" w:ascii="宋体" w:hAnsi="宋体" w:eastAsia="宋体" w:cs="宋体"/>
          <w:sz w:val="28"/>
          <w:szCs w:val="28"/>
        </w:rPr>
        <w:t>万元，比</w:t>
      </w:r>
      <w:r>
        <w:rPr>
          <w:rFonts w:ascii="宋体" w:hAnsi="宋体" w:eastAsia="宋体" w:cs="宋体"/>
          <w:sz w:val="28"/>
          <w:szCs w:val="28"/>
        </w:rPr>
        <w:t>201</w:t>
      </w:r>
      <w:r>
        <w:rPr>
          <w:rFonts w:hint="eastAsia" w:ascii="宋体" w:hAnsi="宋体" w:eastAsia="宋体" w:cs="宋体"/>
          <w:sz w:val="28"/>
          <w:szCs w:val="28"/>
          <w:lang w:val="en-US" w:eastAsia="zh-CN"/>
        </w:rPr>
        <w:t>9</w:t>
      </w:r>
      <w:r>
        <w:rPr>
          <w:rFonts w:hint="eastAsia" w:ascii="宋体" w:hAnsi="宋体" w:eastAsia="宋体" w:cs="宋体"/>
          <w:sz w:val="28"/>
          <w:szCs w:val="28"/>
        </w:rPr>
        <w:t>年教学仪器设备总值增长</w:t>
      </w:r>
      <w:r>
        <w:rPr>
          <w:rFonts w:hint="eastAsia" w:ascii="宋体" w:hAnsi="宋体" w:eastAsia="宋体" w:cs="宋体"/>
          <w:sz w:val="28"/>
          <w:szCs w:val="28"/>
          <w:lang w:val="en-US" w:eastAsia="zh-CN"/>
        </w:rPr>
        <w:t>8.8</w:t>
      </w:r>
      <w:r>
        <w:rPr>
          <w:rFonts w:ascii="宋体" w:hAnsi="宋体" w:eastAsia="宋体" w:cs="宋体"/>
          <w:sz w:val="28"/>
          <w:szCs w:val="28"/>
        </w:rPr>
        <w:t>%</w:t>
      </w:r>
      <w:r>
        <w:rPr>
          <w:rFonts w:hint="eastAsia" w:ascii="宋体" w:hAnsi="宋体" w:eastAsia="宋体" w:cs="宋体"/>
          <w:sz w:val="28"/>
          <w:szCs w:val="28"/>
        </w:rPr>
        <w:t>。</w:t>
      </w:r>
      <w:r>
        <w:rPr>
          <w:rFonts w:ascii="宋体" w:hAnsi="宋体" w:eastAsia="宋体" w:cs="宋体"/>
          <w:sz w:val="28"/>
          <w:szCs w:val="28"/>
        </w:rPr>
        <w:t>201</w:t>
      </w:r>
      <w:r>
        <w:rPr>
          <w:rFonts w:hint="eastAsia" w:ascii="宋体" w:hAnsi="宋体" w:eastAsia="宋体" w:cs="宋体"/>
          <w:sz w:val="28"/>
          <w:szCs w:val="28"/>
          <w:lang w:val="en-US" w:eastAsia="zh-CN"/>
        </w:rPr>
        <w:t>9</w:t>
      </w:r>
      <w:r>
        <w:rPr>
          <w:rFonts w:hint="eastAsia" w:ascii="宋体" w:hAnsi="宋体" w:eastAsia="宋体" w:cs="宋体"/>
          <w:sz w:val="28"/>
          <w:szCs w:val="28"/>
        </w:rPr>
        <w:t>年生均仪器设备值为</w:t>
      </w:r>
      <w:r>
        <w:rPr>
          <w:rFonts w:hint="eastAsia" w:ascii="宋体" w:hAnsi="宋体" w:eastAsia="宋体" w:cs="宋体"/>
          <w:sz w:val="28"/>
          <w:szCs w:val="28"/>
          <w:lang w:val="en-US" w:eastAsia="zh-CN"/>
        </w:rPr>
        <w:t>7.35</w:t>
      </w:r>
      <w:r>
        <w:rPr>
          <w:rFonts w:hint="eastAsia" w:ascii="宋体" w:hAnsi="宋体" w:eastAsia="宋体" w:cs="宋体"/>
          <w:sz w:val="28"/>
          <w:szCs w:val="28"/>
        </w:rPr>
        <w:t>万元</w:t>
      </w: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年生均仪器设备值为</w:t>
      </w:r>
      <w:r>
        <w:rPr>
          <w:rFonts w:hint="eastAsia" w:ascii="宋体" w:hAnsi="宋体" w:eastAsia="宋体" w:cs="宋体"/>
          <w:sz w:val="28"/>
          <w:szCs w:val="28"/>
          <w:lang w:val="en-US" w:eastAsia="zh-CN"/>
        </w:rPr>
        <w:t>5.51</w:t>
      </w:r>
      <w:r>
        <w:rPr>
          <w:rFonts w:hint="eastAsia" w:ascii="宋体" w:hAnsi="宋体" w:eastAsia="宋体" w:cs="宋体"/>
          <w:sz w:val="28"/>
          <w:szCs w:val="28"/>
        </w:rPr>
        <w:t>万元</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学校2019年校内实训实习工位数384个，生均2.25，学校2020年校内实训实习工位数384，生均1.54，随着学校招生人数的上升，仪器设备和实训实习工位数生均值在逐年下降，</w:t>
      </w:r>
      <w:r>
        <w:rPr>
          <w:rFonts w:hint="eastAsia" w:ascii="宋体" w:hAnsi="宋体" w:eastAsia="宋体" w:cs="宋体"/>
          <w:sz w:val="28"/>
          <w:szCs w:val="28"/>
        </w:rPr>
        <w:t>学校</w:t>
      </w:r>
      <w:r>
        <w:rPr>
          <w:rFonts w:hint="eastAsia" w:ascii="宋体" w:hAnsi="宋体" w:eastAsia="宋体" w:cs="宋体"/>
          <w:sz w:val="28"/>
          <w:szCs w:val="28"/>
          <w:lang w:val="en-US" w:eastAsia="zh-CN"/>
        </w:rPr>
        <w:t>目前</w:t>
      </w:r>
      <w:r>
        <w:rPr>
          <w:rFonts w:hint="eastAsia" w:ascii="宋体" w:hAnsi="宋体" w:eastAsia="宋体" w:cs="宋体"/>
          <w:sz w:val="28"/>
          <w:szCs w:val="28"/>
        </w:rPr>
        <w:t>建有</w:t>
      </w:r>
      <w:r>
        <w:rPr>
          <w:rFonts w:ascii="宋体" w:hAnsi="宋体" w:eastAsia="宋体" w:cs="宋体"/>
          <w:sz w:val="28"/>
          <w:szCs w:val="28"/>
        </w:rPr>
        <w:t>2</w:t>
      </w:r>
      <w:r>
        <w:rPr>
          <w:rFonts w:hint="eastAsia" w:ascii="宋体" w:hAnsi="宋体" w:eastAsia="宋体" w:cs="宋体"/>
          <w:sz w:val="28"/>
          <w:szCs w:val="28"/>
        </w:rPr>
        <w:t>个省级重点实训基地。</w:t>
      </w:r>
    </w:p>
    <w:p>
      <w:pPr>
        <w:ind w:firstLine="560" w:firstLineChars="200"/>
        <w:rPr>
          <w:rFonts w:ascii="宋体" w:hAnsi="宋体" w:eastAsia="宋体" w:cs="Times New Roman"/>
          <w:sz w:val="28"/>
          <w:szCs w:val="28"/>
        </w:rPr>
      </w:pPr>
      <w:r>
        <w:rPr>
          <w:rFonts w:hint="eastAsia" w:ascii="宋体" w:hAnsi="宋体" w:eastAsia="宋体" w:cs="宋体"/>
          <w:sz w:val="28"/>
          <w:szCs w:val="28"/>
        </w:rPr>
        <w:t>学校按照“教学、培训、生产、技术服务”要求，建立了</w:t>
      </w:r>
      <w:r>
        <w:rPr>
          <w:rFonts w:ascii="宋体" w:hAnsi="宋体" w:eastAsia="宋体" w:cs="宋体"/>
          <w:sz w:val="28"/>
          <w:szCs w:val="28"/>
        </w:rPr>
        <w:t>16</w:t>
      </w:r>
      <w:r>
        <w:rPr>
          <w:rFonts w:hint="eastAsia" w:ascii="宋体" w:hAnsi="宋体" w:eastAsia="宋体" w:cs="宋体"/>
          <w:sz w:val="28"/>
          <w:szCs w:val="28"/>
        </w:rPr>
        <w:t>个校内实训室，</w:t>
      </w:r>
      <w:r>
        <w:rPr>
          <w:rFonts w:hint="eastAsia" w:ascii="宋体" w:hAnsi="宋体" w:eastAsia="宋体" w:cs="宋体"/>
          <w:sz w:val="28"/>
          <w:szCs w:val="28"/>
          <w:lang w:val="en-US" w:eastAsia="zh-CN"/>
        </w:rPr>
        <w:t>1个校企共建实训基地，</w:t>
      </w:r>
      <w:r>
        <w:rPr>
          <w:rFonts w:hint="eastAsia" w:ascii="宋体" w:hAnsi="宋体" w:eastAsia="宋体" w:cs="宋体"/>
          <w:sz w:val="28"/>
          <w:szCs w:val="28"/>
        </w:rPr>
        <w:t>多功能厅</w:t>
      </w:r>
      <w:r>
        <w:rPr>
          <w:rFonts w:ascii="宋体" w:hAnsi="宋体" w:eastAsia="宋体" w:cs="宋体"/>
          <w:sz w:val="28"/>
          <w:szCs w:val="28"/>
        </w:rPr>
        <w:t>1</w:t>
      </w:r>
      <w:r>
        <w:rPr>
          <w:rFonts w:hint="eastAsia" w:ascii="宋体" w:hAnsi="宋体" w:eastAsia="宋体" w:cs="宋体"/>
          <w:sz w:val="28"/>
          <w:szCs w:val="28"/>
        </w:rPr>
        <w:t>个、羽毛球场</w:t>
      </w:r>
      <w:r>
        <w:rPr>
          <w:rFonts w:ascii="宋体" w:hAnsi="宋体" w:eastAsia="宋体" w:cs="宋体"/>
          <w:sz w:val="28"/>
          <w:szCs w:val="28"/>
        </w:rPr>
        <w:t>2</w:t>
      </w:r>
      <w:r>
        <w:rPr>
          <w:rFonts w:hint="eastAsia" w:ascii="宋体" w:hAnsi="宋体" w:eastAsia="宋体" w:cs="宋体"/>
          <w:sz w:val="28"/>
          <w:szCs w:val="28"/>
        </w:rPr>
        <w:t>块、</w:t>
      </w:r>
      <w:r>
        <w:rPr>
          <w:rFonts w:ascii="宋体" w:hAnsi="宋体" w:eastAsia="宋体" w:cs="宋体"/>
          <w:sz w:val="28"/>
          <w:szCs w:val="28"/>
        </w:rPr>
        <w:t>2</w:t>
      </w:r>
      <w:r>
        <w:rPr>
          <w:rFonts w:hint="eastAsia" w:ascii="宋体" w:hAnsi="宋体" w:eastAsia="宋体" w:cs="宋体"/>
          <w:sz w:val="28"/>
          <w:szCs w:val="28"/>
        </w:rPr>
        <w:t>个形体室等。有纸质图书</w:t>
      </w:r>
      <w:r>
        <w:rPr>
          <w:rFonts w:ascii="宋体" w:hAnsi="宋体" w:eastAsia="宋体" w:cs="宋体"/>
          <w:sz w:val="28"/>
          <w:szCs w:val="28"/>
        </w:rPr>
        <w:t>3.</w:t>
      </w:r>
      <w:r>
        <w:rPr>
          <w:rFonts w:hint="eastAsia" w:ascii="宋体" w:hAnsi="宋体" w:eastAsia="宋体" w:cs="宋体"/>
          <w:sz w:val="28"/>
          <w:szCs w:val="28"/>
          <w:lang w:val="en-US" w:eastAsia="zh-CN"/>
        </w:rPr>
        <w:t>3</w:t>
      </w:r>
      <w:r>
        <w:rPr>
          <w:rFonts w:hint="eastAsia" w:ascii="宋体" w:hAnsi="宋体" w:eastAsia="宋体" w:cs="宋体"/>
          <w:sz w:val="28"/>
          <w:szCs w:val="28"/>
        </w:rPr>
        <w:t>万余册，生均</w:t>
      </w:r>
      <w:r>
        <w:rPr>
          <w:rFonts w:ascii="宋体" w:hAnsi="宋体" w:eastAsia="宋体" w:cs="宋体"/>
          <w:sz w:val="28"/>
          <w:szCs w:val="28"/>
        </w:rPr>
        <w:t>1</w:t>
      </w:r>
      <w:r>
        <w:rPr>
          <w:rFonts w:hint="eastAsia" w:ascii="宋体" w:hAnsi="宋体" w:eastAsia="宋体" w:cs="宋体"/>
          <w:sz w:val="28"/>
          <w:szCs w:val="28"/>
          <w:lang w:val="en-US" w:eastAsia="zh-CN"/>
        </w:rPr>
        <w:t>32</w:t>
      </w:r>
      <w:r>
        <w:rPr>
          <w:rFonts w:hint="eastAsia" w:ascii="宋体" w:hAnsi="宋体" w:eastAsia="宋体" w:cs="宋体"/>
          <w:sz w:val="28"/>
          <w:szCs w:val="28"/>
        </w:rPr>
        <w:t>册，</w:t>
      </w: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年新增</w:t>
      </w:r>
      <w:r>
        <w:rPr>
          <w:rFonts w:ascii="宋体" w:hAnsi="宋体" w:eastAsia="宋体" w:cs="宋体"/>
          <w:sz w:val="28"/>
          <w:szCs w:val="28"/>
        </w:rPr>
        <w:t>1000</w:t>
      </w:r>
      <w:r>
        <w:rPr>
          <w:rFonts w:hint="eastAsia" w:ascii="宋体" w:hAnsi="宋体" w:eastAsia="宋体" w:cs="宋体"/>
          <w:sz w:val="28"/>
          <w:szCs w:val="28"/>
        </w:rPr>
        <w:t>册。</w:t>
      </w:r>
    </w:p>
    <w:p>
      <w:pPr>
        <w:jc w:val="center"/>
        <w:rPr>
          <w:rFonts w:ascii="宋体" w:hAnsi="宋体" w:eastAsia="宋体" w:cs="Times New Roman"/>
          <w:color w:val="FF0000"/>
          <w:sz w:val="28"/>
          <w:szCs w:val="28"/>
        </w:rPr>
      </w:pPr>
      <w:r>
        <w:drawing>
          <wp:inline distT="0" distB="0" distL="114300" distR="114300">
            <wp:extent cx="4822825" cy="3169285"/>
            <wp:effectExtent l="4445" t="5080" r="19050" b="41275"/>
            <wp:docPr id="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pPr>
        <w:jc w:val="center"/>
        <w:rPr>
          <w:rFonts w:ascii="黑体" w:hAnsi="宋体" w:eastAsia="黑体" w:cs="Times New Roman"/>
          <w:sz w:val="28"/>
          <w:szCs w:val="28"/>
        </w:rPr>
      </w:pPr>
      <w:r>
        <w:rPr>
          <w:rFonts w:hint="eastAsia" w:ascii="宋体" w:hAnsi="宋体" w:eastAsia="宋体" w:cs="宋体"/>
          <w:sz w:val="28"/>
          <w:szCs w:val="28"/>
        </w:rPr>
        <w:t>图</w:t>
      </w:r>
      <w:r>
        <w:rPr>
          <w:rFonts w:ascii="宋体" w:hAnsi="宋体" w:eastAsia="宋体" w:cs="宋体"/>
          <w:sz w:val="28"/>
          <w:szCs w:val="28"/>
        </w:rPr>
        <w:t>3</w:t>
      </w:r>
      <w:r>
        <w:rPr>
          <w:rFonts w:hint="eastAsia" w:ascii="宋体" w:hAnsi="宋体" w:eastAsia="宋体" w:cs="宋体"/>
          <w:sz w:val="28"/>
          <w:szCs w:val="28"/>
        </w:rPr>
        <w:t>教学仪器设备</w:t>
      </w:r>
      <w:r>
        <w:rPr>
          <w:rFonts w:hint="eastAsia" w:ascii="宋体" w:hAnsi="宋体" w:eastAsia="宋体" w:cs="宋体"/>
          <w:sz w:val="28"/>
          <w:szCs w:val="28"/>
          <w:lang w:val="en-US" w:eastAsia="zh-CN"/>
        </w:rPr>
        <w:t>资产</w:t>
      </w:r>
      <w:r>
        <w:rPr>
          <w:rFonts w:hint="eastAsia" w:ascii="宋体" w:hAnsi="宋体" w:eastAsia="宋体" w:cs="宋体"/>
          <w:sz w:val="28"/>
          <w:szCs w:val="28"/>
        </w:rPr>
        <w:t>总值</w:t>
      </w:r>
      <w:r>
        <w:rPr>
          <w:rFonts w:hint="eastAsia" w:ascii="宋体" w:hAnsi="宋体" w:eastAsia="宋体" w:cs="宋体"/>
          <w:sz w:val="28"/>
          <w:szCs w:val="28"/>
          <w:lang w:val="en-US" w:eastAsia="zh-CN"/>
        </w:rPr>
        <w:t>和实训实习工位数</w:t>
      </w:r>
      <w:r>
        <w:rPr>
          <w:rFonts w:ascii="宋体" w:hAnsi="宋体" w:eastAsia="宋体" w:cs="宋体"/>
          <w:sz w:val="28"/>
          <w:szCs w:val="28"/>
        </w:rPr>
        <w:t>(</w:t>
      </w:r>
      <w:r>
        <w:rPr>
          <w:rFonts w:hint="eastAsia" w:ascii="宋体" w:hAnsi="宋体" w:eastAsia="宋体" w:cs="宋体"/>
          <w:sz w:val="28"/>
          <w:szCs w:val="28"/>
        </w:rPr>
        <w:t>万元</w:t>
      </w:r>
      <w:r>
        <w:rPr>
          <w:rFonts w:ascii="宋体" w:hAnsi="宋体" w:eastAsia="宋体" w:cs="宋体"/>
          <w:sz w:val="28"/>
          <w:szCs w:val="28"/>
        </w:rPr>
        <w:t>)</w:t>
      </w:r>
    </w:p>
    <w:bookmarkEnd w:id="11"/>
    <w:p>
      <w:pPr>
        <w:pStyle w:val="2"/>
        <w:spacing w:before="0" w:after="0" w:line="240" w:lineRule="auto"/>
        <w:ind w:firstLine="640" w:firstLineChars="200"/>
        <w:rPr>
          <w:rFonts w:ascii="黑体" w:hAnsi="黑体" w:eastAsia="黑体" w:cs="Times New Roman"/>
          <w:b w:val="0"/>
          <w:bCs w:val="0"/>
          <w:color w:val="auto"/>
          <w:sz w:val="32"/>
          <w:szCs w:val="32"/>
        </w:rPr>
      </w:pPr>
      <w:bookmarkStart w:id="12" w:name="_Toc34123273"/>
      <w:r>
        <w:rPr>
          <w:rFonts w:ascii="黑体" w:hAnsi="黑体" w:eastAsia="黑体" w:cs="黑体"/>
          <w:b w:val="0"/>
          <w:bCs w:val="0"/>
          <w:color w:val="auto"/>
          <w:sz w:val="32"/>
          <w:szCs w:val="32"/>
        </w:rPr>
        <w:t>2.</w:t>
      </w:r>
      <w:r>
        <w:rPr>
          <w:rFonts w:hint="eastAsia" w:ascii="黑体" w:hAnsi="黑体" w:eastAsia="黑体" w:cs="黑体"/>
          <w:b w:val="0"/>
          <w:bCs w:val="0"/>
          <w:color w:val="auto"/>
          <w:sz w:val="32"/>
          <w:szCs w:val="32"/>
        </w:rPr>
        <w:t>学生发展</w:t>
      </w:r>
      <w:bookmarkEnd w:id="12"/>
    </w:p>
    <w:p>
      <w:pPr>
        <w:pStyle w:val="3"/>
        <w:spacing w:before="0" w:after="0" w:line="240" w:lineRule="auto"/>
        <w:ind w:firstLine="560" w:firstLineChars="200"/>
        <w:rPr>
          <w:rFonts w:ascii="宋体" w:hAnsi="宋体" w:eastAsia="宋体" w:cs="Times New Roman"/>
          <w:b w:val="0"/>
          <w:bCs w:val="0"/>
          <w:color w:val="auto"/>
          <w:sz w:val="28"/>
          <w:szCs w:val="28"/>
        </w:rPr>
      </w:pPr>
      <w:bookmarkStart w:id="13" w:name="_Toc34123274"/>
      <w:r>
        <w:rPr>
          <w:rFonts w:ascii="宋体" w:hAnsi="宋体" w:eastAsia="宋体" w:cs="宋体"/>
          <w:b w:val="0"/>
          <w:bCs w:val="0"/>
          <w:color w:val="auto"/>
          <w:sz w:val="28"/>
          <w:szCs w:val="28"/>
        </w:rPr>
        <w:t>2.1</w:t>
      </w:r>
      <w:r>
        <w:rPr>
          <w:rFonts w:hint="eastAsia" w:ascii="宋体" w:hAnsi="宋体" w:eastAsia="宋体" w:cs="宋体"/>
          <w:b w:val="0"/>
          <w:bCs w:val="0"/>
          <w:color w:val="auto"/>
          <w:sz w:val="28"/>
          <w:szCs w:val="28"/>
        </w:rPr>
        <w:t>学生素质</w:t>
      </w:r>
      <w:bookmarkEnd w:id="13"/>
    </w:p>
    <w:p>
      <w:pPr>
        <w:pStyle w:val="3"/>
        <w:spacing w:before="0" w:after="0" w:line="240" w:lineRule="auto"/>
        <w:ind w:firstLine="560" w:firstLineChars="200"/>
        <w:rPr>
          <w:rFonts w:hint="eastAsia" w:ascii="宋体" w:hAnsi="宋体" w:eastAsia="宋体" w:cs="宋体"/>
          <w:b w:val="0"/>
          <w:bCs w:val="0"/>
          <w:color w:val="auto"/>
          <w:sz w:val="28"/>
          <w:szCs w:val="28"/>
        </w:rPr>
      </w:pPr>
      <w:bookmarkStart w:id="14" w:name="_Toc535586422"/>
      <w:r>
        <w:rPr>
          <w:rFonts w:hint="eastAsia" w:ascii="宋体" w:hAnsi="宋体" w:eastAsia="宋体" w:cs="宋体"/>
          <w:b w:val="0"/>
          <w:bCs w:val="0"/>
          <w:color w:val="auto"/>
          <w:sz w:val="28"/>
          <w:szCs w:val="28"/>
        </w:rPr>
        <w:t>学校坚持以培养学生职业能力为主线，尊重职业教育规律，尊重学生的智能多元，着眼职业教育发展方向和社会对人才的需求，以立德树人，促进就业为目标，学生有较高的政治参与意识，积极参加党团组织活动，要求加入党组织的比例逐年提高。在教学上，注重日常教学管理和学生良好学习习惯的养成，以校园文化技能节和各种社会实践活动，提高学生的文化素养和专业技能。20</w:t>
      </w:r>
      <w:r>
        <w:rPr>
          <w:rFonts w:hint="eastAsia" w:ascii="宋体" w:hAnsi="宋体" w:eastAsia="宋体" w:cs="宋体"/>
          <w:b w:val="0"/>
          <w:bCs w:val="0"/>
          <w:color w:val="auto"/>
          <w:sz w:val="28"/>
          <w:szCs w:val="28"/>
          <w:lang w:val="en-US" w:eastAsia="zh-CN"/>
        </w:rPr>
        <w:t>20</w:t>
      </w:r>
      <w:r>
        <w:rPr>
          <w:rFonts w:hint="eastAsia" w:ascii="宋体" w:hAnsi="宋体" w:eastAsia="宋体" w:cs="宋体"/>
          <w:b w:val="0"/>
          <w:bCs w:val="0"/>
          <w:color w:val="auto"/>
          <w:sz w:val="28"/>
          <w:szCs w:val="28"/>
        </w:rPr>
        <w:t>年，我校学生文化课合格率97.</w:t>
      </w:r>
      <w:r>
        <w:rPr>
          <w:rFonts w:hint="eastAsia" w:ascii="宋体" w:hAnsi="宋体" w:eastAsia="宋体" w:cs="宋体"/>
          <w:b w:val="0"/>
          <w:bCs w:val="0"/>
          <w:color w:val="auto"/>
          <w:sz w:val="28"/>
          <w:szCs w:val="28"/>
          <w:lang w:val="en-US" w:eastAsia="zh-CN"/>
        </w:rPr>
        <w:t>7</w:t>
      </w:r>
      <w:r>
        <w:rPr>
          <w:rFonts w:hint="eastAsia" w:ascii="宋体" w:hAnsi="宋体" w:eastAsia="宋体" w:cs="宋体"/>
          <w:b w:val="0"/>
          <w:bCs w:val="0"/>
          <w:color w:val="auto"/>
          <w:sz w:val="28"/>
          <w:szCs w:val="28"/>
        </w:rPr>
        <w:t>%，专业技能合格率98.</w:t>
      </w:r>
      <w:r>
        <w:rPr>
          <w:rFonts w:hint="eastAsia" w:ascii="宋体" w:hAnsi="宋体" w:eastAsia="宋体" w:cs="宋体"/>
          <w:b w:val="0"/>
          <w:bCs w:val="0"/>
          <w:color w:val="auto"/>
          <w:sz w:val="28"/>
          <w:szCs w:val="28"/>
          <w:lang w:val="en-US" w:eastAsia="zh-CN"/>
        </w:rPr>
        <w:t>5</w:t>
      </w:r>
      <w:r>
        <w:rPr>
          <w:rFonts w:hint="eastAsia" w:ascii="宋体" w:hAnsi="宋体" w:eastAsia="宋体" w:cs="宋体"/>
          <w:b w:val="0"/>
          <w:bCs w:val="0"/>
          <w:color w:val="auto"/>
          <w:sz w:val="28"/>
          <w:szCs w:val="28"/>
        </w:rPr>
        <w:t>%，体质测评合格率 97%，毕业率100%</w:t>
      </w:r>
      <w:r>
        <w:rPr>
          <w:rFonts w:hint="eastAsia" w:ascii="宋体" w:hAnsi="宋体" w:eastAsia="宋体" w:cs="宋体"/>
          <w:b w:val="0"/>
          <w:bCs w:val="0"/>
          <w:color w:val="auto"/>
          <w:sz w:val="28"/>
          <w:szCs w:val="28"/>
          <w:lang w:eastAsia="zh-CN"/>
        </w:rPr>
        <w:t>，</w:t>
      </w:r>
      <w:r>
        <w:rPr>
          <w:rFonts w:hint="eastAsia" w:ascii="宋体" w:hAnsi="宋体" w:eastAsia="宋体" w:cs="宋体"/>
          <w:b w:val="0"/>
          <w:bCs w:val="0"/>
          <w:color w:val="auto"/>
          <w:sz w:val="28"/>
          <w:szCs w:val="28"/>
          <w:lang w:val="en-US" w:eastAsia="zh-CN"/>
        </w:rPr>
        <w:t>职业技能证书获取率57.1</w:t>
      </w:r>
      <w:r>
        <w:rPr>
          <w:rFonts w:hint="eastAsia" w:ascii="宋体" w:hAnsi="宋体" w:eastAsia="宋体" w:cs="宋体"/>
          <w:b w:val="0"/>
          <w:bCs w:val="0"/>
          <w:color w:val="auto"/>
          <w:sz w:val="28"/>
          <w:szCs w:val="28"/>
        </w:rPr>
        <w:t>%。</w:t>
      </w:r>
    </w:p>
    <w:p>
      <w:pPr>
        <w:jc w:val="center"/>
        <w:rPr>
          <w:rFonts w:ascii="宋体" w:hAnsi="宋体" w:eastAsia="宋体" w:cs="Times New Roman"/>
          <w:color w:val="FF0000"/>
          <w:sz w:val="28"/>
          <w:szCs w:val="28"/>
        </w:rPr>
      </w:pPr>
      <w:r>
        <w:drawing>
          <wp:inline distT="0" distB="0" distL="114300" distR="114300">
            <wp:extent cx="4716145" cy="2905125"/>
            <wp:effectExtent l="4445" t="4445" r="19050" b="46990"/>
            <wp:docPr id="37"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pPr>
        <w:jc w:val="center"/>
        <w:rPr>
          <w:rFonts w:ascii="宋体" w:hAnsi="宋体" w:eastAsia="宋体" w:cs="Times New Roman"/>
          <w:color w:val="auto"/>
          <w:sz w:val="28"/>
          <w:szCs w:val="28"/>
        </w:rPr>
      </w:pPr>
      <w:r>
        <w:rPr>
          <w:rFonts w:hint="eastAsia" w:ascii="宋体" w:hAnsi="宋体" w:eastAsia="宋体" w:cs="宋体"/>
          <w:color w:val="auto"/>
          <w:sz w:val="28"/>
          <w:szCs w:val="28"/>
        </w:rPr>
        <w:t>图</w:t>
      </w:r>
      <w:r>
        <w:rPr>
          <w:rFonts w:hint="eastAsia" w:ascii="宋体" w:hAnsi="宋体" w:eastAsia="宋体" w:cs="宋体"/>
          <w:color w:val="auto"/>
          <w:sz w:val="28"/>
          <w:szCs w:val="28"/>
          <w:lang w:val="en-US" w:eastAsia="zh-CN"/>
        </w:rPr>
        <w:t>4</w:t>
      </w:r>
      <w:r>
        <w:rPr>
          <w:rFonts w:hint="eastAsia" w:ascii="宋体" w:hAnsi="宋体" w:eastAsia="宋体" w:cs="宋体"/>
          <w:color w:val="auto"/>
          <w:sz w:val="28"/>
          <w:szCs w:val="28"/>
        </w:rPr>
        <w:t>学生素质发展对比情况</w:t>
      </w:r>
    </w:p>
    <w:bookmarkEnd w:id="14"/>
    <w:p>
      <w:pPr>
        <w:pStyle w:val="3"/>
        <w:spacing w:before="0" w:after="0" w:line="240" w:lineRule="auto"/>
        <w:ind w:firstLine="560" w:firstLineChars="200"/>
        <w:rPr>
          <w:rFonts w:ascii="宋体" w:hAnsi="宋体" w:eastAsia="宋体" w:cs="Times New Roman"/>
          <w:b w:val="0"/>
          <w:bCs w:val="0"/>
          <w:color w:val="auto"/>
          <w:sz w:val="28"/>
          <w:szCs w:val="28"/>
        </w:rPr>
      </w:pPr>
      <w:bookmarkStart w:id="15" w:name="_Toc34123275"/>
      <w:r>
        <w:rPr>
          <w:rFonts w:ascii="宋体" w:hAnsi="宋体" w:eastAsia="宋体" w:cs="宋体"/>
          <w:b w:val="0"/>
          <w:bCs w:val="0"/>
          <w:color w:val="auto"/>
          <w:sz w:val="28"/>
          <w:szCs w:val="28"/>
        </w:rPr>
        <w:t>2.2</w:t>
      </w:r>
      <w:r>
        <w:rPr>
          <w:rFonts w:hint="eastAsia" w:ascii="宋体" w:hAnsi="宋体" w:eastAsia="宋体" w:cs="宋体"/>
          <w:b w:val="0"/>
          <w:bCs w:val="0"/>
          <w:color w:val="auto"/>
          <w:sz w:val="28"/>
          <w:szCs w:val="28"/>
        </w:rPr>
        <w:t>在校体验</w:t>
      </w:r>
      <w:bookmarkEnd w:id="15"/>
    </w:p>
    <w:p>
      <w:pPr>
        <w:ind w:firstLine="560" w:firstLineChars="200"/>
        <w:rPr>
          <w:rFonts w:hint="eastAsia" w:ascii="宋体" w:hAnsi="宋体" w:eastAsia="宋体" w:cs="宋体"/>
          <w:b w:val="0"/>
          <w:bCs w:val="0"/>
          <w:color w:val="auto"/>
          <w:kern w:val="2"/>
          <w:sz w:val="28"/>
          <w:szCs w:val="28"/>
          <w:lang w:val="en-US" w:eastAsia="zh-CN" w:bidi="ar-SA"/>
        </w:rPr>
      </w:pPr>
      <w:r>
        <w:rPr>
          <w:rFonts w:hint="eastAsia" w:ascii="宋体" w:hAnsi="宋体" w:eastAsia="宋体" w:cs="宋体"/>
          <w:b w:val="0"/>
          <w:bCs w:val="0"/>
          <w:color w:val="auto"/>
          <w:kern w:val="2"/>
          <w:sz w:val="28"/>
          <w:szCs w:val="28"/>
          <w:lang w:val="en-US" w:eastAsia="zh-CN" w:bidi="ar-SA"/>
        </w:rPr>
        <w:t>2020年学校对2019级秋季入学的二年级学生及部分2017级秋季入学的毕业学生共发放调查问卷100份,主要从理论学习满意度、专业学习满意度、实习实训满意度、校园文化与社团活动满意度、生活满意度、校园安全满意度、毕业生对学校满意度进行调查,回收了88份调查问卷,回收率达到88%,其中理论学习满意度调查问卷非常满意、比较满意和一般满意占总数的97.8%;专业学习满意度调查问卷非常满意、比较满意和一般满意占总数的98.5%;实习实训满意度调查问卷非常满意、比较满意和一般满意占总数的91.5%;校园文化与社团活动满意度调查问卷非常满意、比较满意和一股满意占总数的93%;生活满意度调查问卷非常满意、比较满意和一般满意占总数的92%;校园安全满意度调查问卷非常满意、比较满意和一般满意占总数的95.3%,毕业生对学校满意度调查问卷非常满意、比较满意和一般满意占总数的94%</w:t>
      </w:r>
    </w:p>
    <w:tbl>
      <w:tblPr>
        <w:tblStyle w:val="11"/>
        <w:tblW w:w="8222" w:type="dxa"/>
        <w:jc w:val="center"/>
        <w:tblLayout w:type="fixed"/>
        <w:tblCellMar>
          <w:top w:w="0" w:type="dxa"/>
          <w:left w:w="108" w:type="dxa"/>
          <w:bottom w:w="0" w:type="dxa"/>
          <w:right w:w="108" w:type="dxa"/>
        </w:tblCellMar>
      </w:tblPr>
      <w:tblGrid>
        <w:gridCol w:w="1134"/>
        <w:gridCol w:w="851"/>
        <w:gridCol w:w="891"/>
        <w:gridCol w:w="891"/>
        <w:gridCol w:w="891"/>
        <w:gridCol w:w="891"/>
        <w:gridCol w:w="891"/>
        <w:gridCol w:w="891"/>
        <w:gridCol w:w="891"/>
      </w:tblGrid>
      <w:tr>
        <w:tblPrEx>
          <w:tblCellMar>
            <w:top w:w="0" w:type="dxa"/>
            <w:left w:w="108" w:type="dxa"/>
            <w:bottom w:w="0" w:type="dxa"/>
            <w:right w:w="108" w:type="dxa"/>
          </w:tblCellMar>
        </w:tblPrEx>
        <w:trPr>
          <w:trHeight w:val="285" w:hRule="atLeast"/>
          <w:jc w:val="center"/>
        </w:trPr>
        <w:tc>
          <w:tcPr>
            <w:tcW w:w="8222" w:type="dxa"/>
            <w:gridSpan w:val="9"/>
            <w:tcBorders>
              <w:top w:val="nil"/>
              <w:left w:val="nil"/>
              <w:bottom w:val="single" w:color="auto" w:sz="4" w:space="0"/>
              <w:right w:val="nil"/>
            </w:tcBorders>
            <w:noWrap/>
            <w:vAlign w:val="center"/>
          </w:tcPr>
          <w:p>
            <w:pPr>
              <w:widowControl/>
              <w:jc w:val="center"/>
              <w:rPr>
                <w:rFonts w:ascii="宋体" w:hAnsi="宋体" w:eastAsia="宋体" w:cs="Times New Roman"/>
                <w:b/>
                <w:bCs/>
                <w:color w:val="auto"/>
                <w:kern w:val="0"/>
                <w:sz w:val="24"/>
                <w:szCs w:val="24"/>
              </w:rPr>
            </w:pPr>
            <w:r>
              <w:rPr>
                <w:rFonts w:hint="eastAsia" w:ascii="宋体" w:hAnsi="宋体" w:eastAsia="宋体" w:cs="宋体"/>
                <w:b/>
                <w:bCs/>
                <w:color w:val="auto"/>
                <w:kern w:val="0"/>
                <w:sz w:val="24"/>
                <w:szCs w:val="24"/>
              </w:rPr>
              <w:t>表</w:t>
            </w:r>
            <w:r>
              <w:rPr>
                <w:rFonts w:ascii="宋体" w:hAnsi="宋体" w:eastAsia="宋体" w:cs="宋体"/>
                <w:b/>
                <w:bCs/>
                <w:color w:val="auto"/>
                <w:kern w:val="0"/>
                <w:sz w:val="24"/>
                <w:szCs w:val="24"/>
              </w:rPr>
              <w:t>1</w:t>
            </w:r>
            <w:r>
              <w:rPr>
                <w:rFonts w:hint="eastAsia" w:ascii="宋体" w:hAnsi="宋体" w:eastAsia="宋体" w:cs="宋体"/>
                <w:b/>
                <w:bCs/>
                <w:color w:val="auto"/>
                <w:kern w:val="0"/>
                <w:sz w:val="24"/>
                <w:szCs w:val="24"/>
              </w:rPr>
              <w:t>：近两学年学生在校体验情况一览表</w:t>
            </w:r>
          </w:p>
        </w:tc>
      </w:tr>
      <w:tr>
        <w:tblPrEx>
          <w:tblCellMar>
            <w:top w:w="0" w:type="dxa"/>
            <w:left w:w="108" w:type="dxa"/>
            <w:bottom w:w="0" w:type="dxa"/>
            <w:right w:w="108" w:type="dxa"/>
          </w:tblCellMar>
        </w:tblPrEx>
        <w:trPr>
          <w:trHeight w:val="450" w:hRule="atLeast"/>
          <w:jc w:val="center"/>
        </w:trPr>
        <w:tc>
          <w:tcPr>
            <w:tcW w:w="1985" w:type="dxa"/>
            <w:gridSpan w:val="2"/>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学年度</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理论学习满意度</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专业学习满意度</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实习实训满意度</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校园文化与社团满意度</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生活满意度</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校园安全满意度</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毕业生对学习满意度</w:t>
            </w:r>
          </w:p>
        </w:tc>
      </w:tr>
      <w:tr>
        <w:tblPrEx>
          <w:tblCellMar>
            <w:top w:w="0" w:type="dxa"/>
            <w:left w:w="108" w:type="dxa"/>
            <w:bottom w:w="0" w:type="dxa"/>
            <w:right w:w="108" w:type="dxa"/>
          </w:tblCellMar>
        </w:tblPrEx>
        <w:trPr>
          <w:trHeight w:val="450" w:hRule="atLeast"/>
          <w:jc w:val="center"/>
        </w:trPr>
        <w:tc>
          <w:tcPr>
            <w:tcW w:w="1134"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宋体"/>
                <w:b/>
                <w:bCs/>
                <w:color w:val="auto"/>
                <w:kern w:val="0"/>
                <w:sz w:val="18"/>
                <w:szCs w:val="18"/>
              </w:rPr>
            </w:pPr>
            <w:r>
              <w:rPr>
                <w:rFonts w:ascii="宋体" w:hAnsi="宋体" w:eastAsia="宋体" w:cs="宋体"/>
                <w:b/>
                <w:bCs/>
                <w:color w:val="auto"/>
                <w:kern w:val="0"/>
                <w:sz w:val="18"/>
                <w:szCs w:val="18"/>
              </w:rPr>
              <w:t>2018-2019</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比例（</w:t>
            </w:r>
            <w:r>
              <w:rPr>
                <w:rFonts w:ascii="宋体" w:hAnsi="宋体" w:eastAsia="宋体" w:cs="宋体"/>
                <w:b/>
                <w:bCs/>
                <w:color w:val="auto"/>
                <w:kern w:val="0"/>
                <w:sz w:val="18"/>
                <w:szCs w:val="18"/>
              </w:rPr>
              <w:t>%</w:t>
            </w:r>
            <w:r>
              <w:rPr>
                <w:rFonts w:hint="eastAsia" w:ascii="宋体" w:hAnsi="宋体" w:eastAsia="宋体" w:cs="宋体"/>
                <w:b/>
                <w:bCs/>
                <w:color w:val="auto"/>
                <w:kern w:val="0"/>
                <w:sz w:val="18"/>
                <w:szCs w:val="18"/>
              </w:rPr>
              <w:t>）</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 w:hAnsi="仿宋" w:eastAsia="仿宋" w:cs="Times New Roman"/>
                <w:color w:val="auto"/>
                <w:sz w:val="21"/>
                <w:szCs w:val="21"/>
              </w:rPr>
            </w:pPr>
            <w:r>
              <w:rPr>
                <w:rFonts w:ascii="Tahoma" w:hAnsi="Tahoma" w:eastAsia="宋体" w:cs="Tahoma"/>
                <w:color w:val="auto"/>
                <w:kern w:val="0"/>
                <w:sz w:val="18"/>
                <w:szCs w:val="18"/>
              </w:rPr>
              <w:t>97.6</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Tahoma" w:hAnsi="Tahoma" w:eastAsia="宋体" w:cs="Tahoma"/>
                <w:color w:val="auto"/>
                <w:kern w:val="0"/>
                <w:sz w:val="18"/>
                <w:szCs w:val="18"/>
              </w:rPr>
            </w:pPr>
            <w:r>
              <w:rPr>
                <w:rFonts w:ascii="Tahoma" w:hAnsi="Tahoma" w:eastAsia="宋体" w:cs="Tahoma"/>
                <w:color w:val="auto"/>
                <w:kern w:val="0"/>
                <w:sz w:val="18"/>
                <w:szCs w:val="18"/>
              </w:rPr>
              <w:t>98.8</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Tahoma" w:hAnsi="Tahoma" w:eastAsia="宋体" w:cs="Tahoma"/>
                <w:color w:val="auto"/>
                <w:kern w:val="0"/>
                <w:sz w:val="18"/>
                <w:szCs w:val="18"/>
              </w:rPr>
            </w:pPr>
            <w:r>
              <w:rPr>
                <w:rFonts w:ascii="Tahoma" w:hAnsi="Tahoma" w:eastAsia="宋体" w:cs="Tahoma"/>
                <w:color w:val="auto"/>
                <w:kern w:val="0"/>
                <w:sz w:val="18"/>
                <w:szCs w:val="18"/>
              </w:rPr>
              <w:t>93.5</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Tahoma" w:hAnsi="Tahoma" w:eastAsia="宋体" w:cs="Tahoma"/>
                <w:color w:val="auto"/>
                <w:kern w:val="0"/>
                <w:sz w:val="18"/>
                <w:szCs w:val="18"/>
              </w:rPr>
            </w:pPr>
            <w:r>
              <w:rPr>
                <w:rFonts w:ascii="Tahoma" w:hAnsi="Tahoma" w:eastAsia="宋体" w:cs="Tahoma"/>
                <w:color w:val="auto"/>
                <w:kern w:val="0"/>
                <w:sz w:val="18"/>
                <w:szCs w:val="18"/>
              </w:rPr>
              <w:t>92.3</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Tahoma" w:hAnsi="Tahoma" w:eastAsia="宋体" w:cs="Tahoma"/>
                <w:color w:val="auto"/>
                <w:kern w:val="0"/>
                <w:sz w:val="18"/>
                <w:szCs w:val="18"/>
              </w:rPr>
            </w:pPr>
            <w:r>
              <w:rPr>
                <w:rFonts w:ascii="Tahoma" w:hAnsi="Tahoma" w:eastAsia="宋体" w:cs="Tahoma"/>
                <w:color w:val="auto"/>
                <w:kern w:val="0"/>
                <w:sz w:val="18"/>
                <w:szCs w:val="18"/>
              </w:rPr>
              <w:t>93.2</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Tahoma" w:hAnsi="Tahoma" w:eastAsia="宋体" w:cs="Tahoma"/>
                <w:color w:val="auto"/>
                <w:kern w:val="0"/>
                <w:sz w:val="18"/>
                <w:szCs w:val="18"/>
              </w:rPr>
            </w:pPr>
            <w:r>
              <w:rPr>
                <w:rFonts w:ascii="Tahoma" w:hAnsi="Tahoma" w:eastAsia="宋体" w:cs="Tahoma"/>
                <w:color w:val="auto"/>
                <w:kern w:val="0"/>
                <w:sz w:val="18"/>
                <w:szCs w:val="18"/>
              </w:rPr>
              <w:t>94.9</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Tahoma" w:hAnsi="Tahoma" w:eastAsia="宋体" w:cs="Tahoma"/>
                <w:color w:val="auto"/>
                <w:kern w:val="0"/>
                <w:sz w:val="18"/>
                <w:szCs w:val="18"/>
              </w:rPr>
            </w:pPr>
            <w:r>
              <w:rPr>
                <w:rFonts w:ascii="Tahoma" w:hAnsi="Tahoma" w:eastAsia="宋体" w:cs="Tahoma"/>
                <w:color w:val="auto"/>
                <w:kern w:val="0"/>
                <w:sz w:val="18"/>
                <w:szCs w:val="18"/>
              </w:rPr>
              <w:t>93.6</w:t>
            </w:r>
          </w:p>
        </w:tc>
      </w:tr>
      <w:tr>
        <w:tblPrEx>
          <w:tblCellMar>
            <w:top w:w="0" w:type="dxa"/>
            <w:left w:w="108" w:type="dxa"/>
            <w:bottom w:w="0" w:type="dxa"/>
            <w:right w:w="108" w:type="dxa"/>
          </w:tblCellMar>
        </w:tblPrEx>
        <w:trPr>
          <w:trHeight w:val="450" w:hRule="atLeast"/>
          <w:jc w:val="center"/>
        </w:trPr>
        <w:tc>
          <w:tcPr>
            <w:tcW w:w="1134"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宋体" w:hAnsi="宋体" w:eastAsia="宋体" w:cs="宋体"/>
                <w:b/>
                <w:bCs/>
                <w:color w:val="auto"/>
                <w:kern w:val="0"/>
                <w:sz w:val="18"/>
                <w:szCs w:val="18"/>
                <w:lang w:val="en-US" w:eastAsia="zh-CN"/>
              </w:rPr>
            </w:pPr>
            <w:r>
              <w:rPr>
                <w:rFonts w:ascii="宋体" w:hAnsi="宋体" w:eastAsia="宋体" w:cs="宋体"/>
                <w:b/>
                <w:bCs/>
                <w:color w:val="auto"/>
                <w:kern w:val="0"/>
                <w:sz w:val="18"/>
                <w:szCs w:val="18"/>
              </w:rPr>
              <w:t>201</w:t>
            </w:r>
            <w:r>
              <w:rPr>
                <w:rFonts w:hint="eastAsia" w:ascii="宋体" w:hAnsi="宋体" w:eastAsia="宋体" w:cs="宋体"/>
                <w:b/>
                <w:bCs/>
                <w:color w:val="auto"/>
                <w:kern w:val="0"/>
                <w:sz w:val="18"/>
                <w:szCs w:val="18"/>
                <w:lang w:val="en-US" w:eastAsia="zh-CN"/>
              </w:rPr>
              <w:t>9</w:t>
            </w:r>
            <w:r>
              <w:rPr>
                <w:rFonts w:ascii="宋体" w:hAnsi="宋体" w:eastAsia="宋体" w:cs="宋体"/>
                <w:b/>
                <w:bCs/>
                <w:color w:val="auto"/>
                <w:kern w:val="0"/>
                <w:sz w:val="18"/>
                <w:szCs w:val="18"/>
              </w:rPr>
              <w:t>-20</w:t>
            </w:r>
            <w:r>
              <w:rPr>
                <w:rFonts w:hint="eastAsia" w:ascii="宋体" w:hAnsi="宋体" w:eastAsia="宋体" w:cs="宋体"/>
                <w:b/>
                <w:bCs/>
                <w:color w:val="auto"/>
                <w:kern w:val="0"/>
                <w:sz w:val="18"/>
                <w:szCs w:val="18"/>
                <w:lang w:val="en-US" w:eastAsia="zh-CN"/>
              </w:rPr>
              <w:t>20</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auto"/>
                <w:kern w:val="0"/>
                <w:sz w:val="18"/>
                <w:szCs w:val="18"/>
              </w:rPr>
            </w:pPr>
            <w:r>
              <w:rPr>
                <w:rFonts w:hint="eastAsia" w:ascii="宋体" w:hAnsi="宋体" w:eastAsia="宋体" w:cs="宋体"/>
                <w:b/>
                <w:bCs/>
                <w:color w:val="auto"/>
                <w:kern w:val="0"/>
                <w:sz w:val="18"/>
                <w:szCs w:val="18"/>
              </w:rPr>
              <w:t>比例（</w:t>
            </w:r>
            <w:r>
              <w:rPr>
                <w:rFonts w:ascii="宋体" w:hAnsi="宋体" w:eastAsia="宋体" w:cs="宋体"/>
                <w:b/>
                <w:bCs/>
                <w:color w:val="auto"/>
                <w:kern w:val="0"/>
                <w:sz w:val="18"/>
                <w:szCs w:val="18"/>
              </w:rPr>
              <w:t>%</w:t>
            </w:r>
            <w:r>
              <w:rPr>
                <w:rFonts w:hint="eastAsia" w:ascii="宋体" w:hAnsi="宋体" w:eastAsia="宋体" w:cs="宋体"/>
                <w:b/>
                <w:bCs/>
                <w:color w:val="auto"/>
                <w:kern w:val="0"/>
                <w:sz w:val="18"/>
                <w:szCs w:val="18"/>
              </w:rPr>
              <w:t>）</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ahoma" w:hAnsi="Tahoma" w:eastAsia="宋体" w:cs="Tahoma"/>
                <w:color w:val="auto"/>
                <w:kern w:val="0"/>
                <w:sz w:val="18"/>
                <w:szCs w:val="18"/>
                <w:lang w:eastAsia="zh-CN"/>
              </w:rPr>
            </w:pPr>
            <w:r>
              <w:rPr>
                <w:rFonts w:ascii="Tahoma" w:hAnsi="Tahoma" w:eastAsia="宋体" w:cs="Tahoma"/>
                <w:color w:val="auto"/>
                <w:kern w:val="0"/>
                <w:sz w:val="18"/>
                <w:szCs w:val="18"/>
              </w:rPr>
              <w:t>97</w:t>
            </w:r>
            <w:r>
              <w:rPr>
                <w:rFonts w:hint="eastAsia" w:ascii="Tahoma" w:hAnsi="Tahoma" w:eastAsia="宋体" w:cs="Tahoma"/>
                <w:color w:val="auto"/>
                <w:kern w:val="0"/>
                <w:sz w:val="18"/>
                <w:szCs w:val="18"/>
                <w:lang w:val="en-US" w:eastAsia="zh-CN"/>
              </w:rPr>
              <w:t>.8</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ahoma" w:hAnsi="Tahoma" w:eastAsia="宋体" w:cs="Tahoma"/>
                <w:color w:val="auto"/>
                <w:kern w:val="0"/>
                <w:sz w:val="18"/>
                <w:szCs w:val="18"/>
                <w:lang w:eastAsia="zh-CN"/>
              </w:rPr>
            </w:pPr>
            <w:r>
              <w:rPr>
                <w:rFonts w:ascii="Tahoma" w:hAnsi="Tahoma" w:eastAsia="宋体" w:cs="Tahoma"/>
                <w:color w:val="auto"/>
                <w:kern w:val="0"/>
                <w:sz w:val="18"/>
                <w:szCs w:val="18"/>
              </w:rPr>
              <w:t>98.</w:t>
            </w:r>
            <w:r>
              <w:rPr>
                <w:rFonts w:hint="eastAsia" w:ascii="Tahoma" w:hAnsi="Tahoma" w:eastAsia="宋体" w:cs="Tahoma"/>
                <w:color w:val="auto"/>
                <w:kern w:val="0"/>
                <w:sz w:val="18"/>
                <w:szCs w:val="18"/>
                <w:lang w:val="en-US" w:eastAsia="zh-CN"/>
              </w:rPr>
              <w:t>5</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ahoma" w:hAnsi="Tahoma" w:eastAsia="宋体" w:cs="Tahoma"/>
                <w:color w:val="auto"/>
                <w:kern w:val="0"/>
                <w:sz w:val="18"/>
                <w:szCs w:val="18"/>
                <w:lang w:val="en-US" w:eastAsia="zh-CN"/>
              </w:rPr>
            </w:pPr>
            <w:r>
              <w:rPr>
                <w:rFonts w:hint="eastAsia" w:ascii="Tahoma" w:hAnsi="Tahoma" w:eastAsia="宋体" w:cs="Tahoma"/>
                <w:color w:val="auto"/>
                <w:kern w:val="0"/>
                <w:sz w:val="18"/>
                <w:szCs w:val="18"/>
                <w:lang w:val="en-US" w:eastAsia="zh-CN"/>
              </w:rPr>
              <w:t>91.5</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ahoma" w:hAnsi="Tahoma" w:eastAsia="宋体" w:cs="Tahoma"/>
                <w:color w:val="auto"/>
                <w:kern w:val="0"/>
                <w:sz w:val="18"/>
                <w:szCs w:val="18"/>
                <w:lang w:val="en-US" w:eastAsia="zh-CN"/>
              </w:rPr>
            </w:pPr>
            <w:r>
              <w:rPr>
                <w:rFonts w:hint="eastAsia" w:ascii="Tahoma" w:hAnsi="Tahoma" w:eastAsia="宋体" w:cs="Tahoma"/>
                <w:color w:val="auto"/>
                <w:kern w:val="0"/>
                <w:sz w:val="18"/>
                <w:szCs w:val="18"/>
                <w:lang w:val="en-US" w:eastAsia="zh-CN"/>
              </w:rPr>
              <w:t>93</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ahoma" w:hAnsi="Tahoma" w:eastAsia="宋体" w:cs="Tahoma"/>
                <w:color w:val="auto"/>
                <w:kern w:val="0"/>
                <w:sz w:val="18"/>
                <w:szCs w:val="18"/>
                <w:lang w:eastAsia="zh-CN"/>
              </w:rPr>
            </w:pPr>
            <w:r>
              <w:rPr>
                <w:rFonts w:ascii="Tahoma" w:hAnsi="Tahoma" w:eastAsia="宋体" w:cs="Tahoma"/>
                <w:color w:val="auto"/>
                <w:kern w:val="0"/>
                <w:sz w:val="18"/>
                <w:szCs w:val="18"/>
              </w:rPr>
              <w:t>9</w:t>
            </w:r>
            <w:r>
              <w:rPr>
                <w:rFonts w:hint="eastAsia" w:ascii="Tahoma" w:hAnsi="Tahoma" w:eastAsia="宋体" w:cs="Tahoma"/>
                <w:color w:val="auto"/>
                <w:kern w:val="0"/>
                <w:sz w:val="18"/>
                <w:szCs w:val="18"/>
                <w:lang w:val="en-US" w:eastAsia="zh-CN"/>
              </w:rPr>
              <w:t>2</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ahoma" w:hAnsi="Tahoma" w:eastAsia="宋体" w:cs="Tahoma"/>
                <w:color w:val="auto"/>
                <w:kern w:val="0"/>
                <w:sz w:val="18"/>
                <w:szCs w:val="18"/>
                <w:lang w:val="en-US" w:eastAsia="zh-CN"/>
              </w:rPr>
            </w:pPr>
            <w:r>
              <w:rPr>
                <w:rFonts w:hint="eastAsia" w:ascii="Tahoma" w:hAnsi="Tahoma" w:eastAsia="宋体" w:cs="Tahoma"/>
                <w:color w:val="auto"/>
                <w:kern w:val="0"/>
                <w:sz w:val="18"/>
                <w:szCs w:val="18"/>
                <w:lang w:val="en-US" w:eastAsia="zh-CN"/>
              </w:rPr>
              <w:t>95.3</w:t>
            </w:r>
          </w:p>
        </w:tc>
        <w:tc>
          <w:tcPr>
            <w:tcW w:w="891"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ahoma" w:hAnsi="Tahoma" w:eastAsia="宋体" w:cs="Tahoma"/>
                <w:color w:val="auto"/>
                <w:kern w:val="0"/>
                <w:sz w:val="18"/>
                <w:szCs w:val="18"/>
                <w:lang w:val="en-US" w:eastAsia="zh-CN"/>
              </w:rPr>
            </w:pPr>
            <w:r>
              <w:rPr>
                <w:rFonts w:hint="eastAsia" w:ascii="Tahoma" w:hAnsi="Tahoma" w:eastAsia="宋体" w:cs="Tahoma"/>
                <w:color w:val="auto"/>
                <w:kern w:val="0"/>
                <w:sz w:val="18"/>
                <w:szCs w:val="18"/>
                <w:lang w:val="en-US" w:eastAsia="zh-CN"/>
              </w:rPr>
              <w:t>94</w:t>
            </w:r>
          </w:p>
        </w:tc>
      </w:tr>
    </w:tbl>
    <w:p>
      <w:pPr>
        <w:pStyle w:val="3"/>
        <w:spacing w:before="0" w:after="0" w:line="240" w:lineRule="auto"/>
        <w:ind w:firstLine="560" w:firstLineChars="200"/>
        <w:rPr>
          <w:rFonts w:ascii="宋体" w:hAnsi="宋体" w:eastAsia="宋体" w:cs="Times New Roman"/>
          <w:b w:val="0"/>
          <w:bCs w:val="0"/>
          <w:color w:val="000000"/>
          <w:sz w:val="28"/>
          <w:szCs w:val="28"/>
        </w:rPr>
      </w:pPr>
      <w:bookmarkStart w:id="16" w:name="_Toc34123276"/>
      <w:r>
        <w:rPr>
          <w:rFonts w:ascii="宋体" w:hAnsi="宋体" w:eastAsia="宋体" w:cs="宋体"/>
          <w:b w:val="0"/>
          <w:bCs w:val="0"/>
          <w:color w:val="000000"/>
          <w:sz w:val="28"/>
          <w:szCs w:val="28"/>
        </w:rPr>
        <w:t>2.3</w:t>
      </w:r>
      <w:r>
        <w:rPr>
          <w:rFonts w:hint="eastAsia" w:ascii="宋体" w:hAnsi="宋体" w:eastAsia="宋体" w:cs="宋体"/>
          <w:b w:val="0"/>
          <w:bCs w:val="0"/>
          <w:color w:val="000000"/>
          <w:sz w:val="28"/>
          <w:szCs w:val="28"/>
        </w:rPr>
        <w:t>资助情况</w:t>
      </w:r>
      <w:bookmarkEnd w:id="16"/>
    </w:p>
    <w:p>
      <w:pPr>
        <w:ind w:firstLine="560" w:firstLineChars="200"/>
        <w:rPr>
          <w:rFonts w:hint="eastAsia" w:ascii="宋体" w:hAnsi="宋体" w:eastAsia="宋体" w:cs="宋体"/>
          <w:b w:val="0"/>
          <w:bCs w:val="0"/>
          <w:color w:val="000000"/>
          <w:kern w:val="2"/>
          <w:sz w:val="28"/>
          <w:szCs w:val="28"/>
          <w:lang w:val="en-US" w:eastAsia="zh-CN" w:bidi="ar-SA"/>
        </w:rPr>
      </w:pPr>
      <w:r>
        <w:rPr>
          <w:rFonts w:hint="eastAsia" w:ascii="宋体" w:hAnsi="宋体" w:eastAsia="宋体" w:cs="宋体"/>
          <w:b w:val="0"/>
          <w:bCs w:val="0"/>
          <w:color w:val="000000"/>
          <w:kern w:val="2"/>
          <w:sz w:val="28"/>
          <w:szCs w:val="28"/>
          <w:lang w:val="en-US" w:eastAsia="zh-CN" w:bidi="ar-SA"/>
        </w:rPr>
        <w:t>学校严格执行国家以及我省对学生资助政策的文件要求，对全校免学费、助学金以及困难认定工作都认真落实到位，时刻关注政策精神并切实做好贫困生资助工作。每年九月份开始，都会认真对符合条件的学生进行资助材料的收集、整理、上报、归档，并且每个年度都会建立享受资助学生的数据库，在每个学期都把受助学生材料上报省资助中心并在校内公示栏进行公示。学校还不定期对困难学生家庭进行慰问，以便于了解掌握受助学生的家庭情况，并帮助解决家庭中所存在的问题，对于病灾户、留守户、单亲户的孩子采取精准扶贫工作。2019年-2020年度学校享受资助情况如下:2019年秋季享受免学费共217人，助学金67人；2020年春季享受免学费211人，助学金67人。学校本着不漏报、不错报的原则，认真核实每一名受助学生的各项材料，以实现精准资助教育工作。</w:t>
      </w:r>
    </w:p>
    <w:p>
      <w:pPr>
        <w:jc w:val="center"/>
        <w:rPr>
          <w:rFonts w:ascii="宋体" w:hAnsi="宋体" w:eastAsia="宋体" w:cs="Times New Roman"/>
          <w:b/>
          <w:bCs/>
          <w:color w:val="auto"/>
          <w:kern w:val="0"/>
          <w:sz w:val="24"/>
          <w:szCs w:val="24"/>
        </w:rPr>
      </w:pPr>
      <w:bookmarkStart w:id="17" w:name="_Toc34123277"/>
      <w:r>
        <w:rPr>
          <w:rFonts w:hint="eastAsia" w:ascii="宋体" w:hAnsi="宋体" w:eastAsia="宋体" w:cs="宋体"/>
          <w:b/>
          <w:bCs/>
          <w:color w:val="auto"/>
          <w:kern w:val="0"/>
          <w:sz w:val="24"/>
          <w:szCs w:val="24"/>
        </w:rPr>
        <w:t>表</w:t>
      </w:r>
      <w:r>
        <w:rPr>
          <w:rFonts w:ascii="宋体" w:hAnsi="宋体" w:eastAsia="宋体" w:cs="宋体"/>
          <w:b/>
          <w:bCs/>
          <w:color w:val="auto"/>
          <w:kern w:val="0"/>
          <w:sz w:val="24"/>
          <w:szCs w:val="24"/>
        </w:rPr>
        <w:t>2</w:t>
      </w:r>
      <w:r>
        <w:rPr>
          <w:rFonts w:hint="eastAsia" w:ascii="宋体" w:hAnsi="宋体" w:eastAsia="宋体" w:cs="宋体"/>
          <w:b/>
          <w:bCs/>
          <w:color w:val="auto"/>
          <w:kern w:val="0"/>
          <w:sz w:val="24"/>
          <w:szCs w:val="24"/>
        </w:rPr>
        <w:t>：学校资助情况一览表</w:t>
      </w:r>
    </w:p>
    <w:tbl>
      <w:tblPr>
        <w:tblStyle w:val="11"/>
        <w:tblW w:w="7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2333"/>
        <w:gridCol w:w="2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2628" w:type="dxa"/>
            <w:noWrap w:val="0"/>
            <w:vAlign w:val="center"/>
          </w:tcPr>
          <w:p>
            <w:pPr>
              <w:adjustRightInd w:val="0"/>
              <w:snapToGrid w:val="0"/>
              <w:spacing w:line="240" w:lineRule="exact"/>
              <w:jc w:val="center"/>
              <w:rPr>
                <w:rFonts w:ascii="宋体" w:hAnsi="宋体" w:eastAsia="宋体" w:cs="Times New Roman"/>
                <w:b/>
                <w:bCs/>
                <w:color w:val="auto"/>
                <w:sz w:val="18"/>
                <w:szCs w:val="18"/>
              </w:rPr>
            </w:pPr>
            <w:r>
              <w:rPr>
                <w:rFonts w:hint="eastAsia" w:ascii="宋体" w:hAnsi="宋体" w:eastAsia="宋体" w:cs="宋体"/>
                <w:b/>
                <w:bCs/>
                <w:color w:val="auto"/>
                <w:sz w:val="18"/>
                <w:szCs w:val="18"/>
              </w:rPr>
              <w:t>学年季度</w:t>
            </w:r>
          </w:p>
        </w:tc>
        <w:tc>
          <w:tcPr>
            <w:tcW w:w="2333" w:type="dxa"/>
            <w:noWrap w:val="0"/>
            <w:vAlign w:val="center"/>
          </w:tcPr>
          <w:p>
            <w:pPr>
              <w:adjustRightInd w:val="0"/>
              <w:snapToGrid w:val="0"/>
              <w:spacing w:line="240" w:lineRule="exact"/>
              <w:jc w:val="center"/>
              <w:rPr>
                <w:rFonts w:ascii="宋体" w:hAnsi="宋体" w:eastAsia="宋体" w:cs="Times New Roman"/>
                <w:b/>
                <w:bCs/>
                <w:color w:val="auto"/>
                <w:sz w:val="18"/>
                <w:szCs w:val="18"/>
              </w:rPr>
            </w:pPr>
            <w:r>
              <w:rPr>
                <w:rFonts w:hint="eastAsia" w:ascii="宋体" w:hAnsi="宋体" w:eastAsia="宋体" w:cs="宋体"/>
                <w:b/>
                <w:bCs/>
                <w:color w:val="auto"/>
                <w:sz w:val="18"/>
                <w:szCs w:val="18"/>
              </w:rPr>
              <w:t>免学费人数</w:t>
            </w:r>
          </w:p>
        </w:tc>
        <w:tc>
          <w:tcPr>
            <w:tcW w:w="2410" w:type="dxa"/>
            <w:noWrap w:val="0"/>
            <w:vAlign w:val="center"/>
          </w:tcPr>
          <w:p>
            <w:pPr>
              <w:adjustRightInd w:val="0"/>
              <w:snapToGrid w:val="0"/>
              <w:spacing w:line="240" w:lineRule="exact"/>
              <w:jc w:val="center"/>
              <w:rPr>
                <w:rFonts w:ascii="宋体" w:hAnsi="宋体" w:eastAsia="宋体" w:cs="Times New Roman"/>
                <w:b/>
                <w:bCs/>
                <w:color w:val="auto"/>
                <w:sz w:val="18"/>
                <w:szCs w:val="18"/>
              </w:rPr>
            </w:pPr>
            <w:r>
              <w:rPr>
                <w:rFonts w:hint="eastAsia" w:ascii="宋体" w:hAnsi="宋体" w:eastAsia="宋体" w:cs="宋体"/>
                <w:b/>
                <w:bCs/>
                <w:color w:val="auto"/>
                <w:sz w:val="18"/>
                <w:szCs w:val="18"/>
              </w:rPr>
              <w:t>助学金人数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628" w:type="dxa"/>
            <w:noWrap w:val="0"/>
            <w:vAlign w:val="center"/>
          </w:tcPr>
          <w:p>
            <w:pPr>
              <w:adjustRightInd w:val="0"/>
              <w:snapToGrid w:val="0"/>
              <w:spacing w:line="240" w:lineRule="exact"/>
              <w:jc w:val="center"/>
              <w:rPr>
                <w:rFonts w:ascii="宋体" w:hAnsi="宋体" w:eastAsia="宋体" w:cs="Times New Roman"/>
                <w:b/>
                <w:bCs/>
                <w:color w:val="auto"/>
                <w:sz w:val="18"/>
                <w:szCs w:val="18"/>
              </w:rPr>
            </w:pPr>
            <w:r>
              <w:rPr>
                <w:rFonts w:ascii="宋体" w:hAnsi="宋体" w:eastAsia="宋体" w:cs="宋体"/>
                <w:b/>
                <w:bCs/>
                <w:color w:val="auto"/>
                <w:sz w:val="18"/>
                <w:szCs w:val="18"/>
              </w:rPr>
              <w:t>20</w:t>
            </w:r>
            <w:r>
              <w:rPr>
                <w:rFonts w:hint="eastAsia" w:ascii="宋体" w:hAnsi="宋体" w:eastAsia="宋体" w:cs="宋体"/>
                <w:b/>
                <w:bCs/>
                <w:color w:val="auto"/>
                <w:sz w:val="18"/>
                <w:szCs w:val="18"/>
                <w:lang w:val="en-US" w:eastAsia="zh-CN"/>
              </w:rPr>
              <w:t>19</w:t>
            </w:r>
            <w:r>
              <w:rPr>
                <w:rFonts w:hint="eastAsia" w:ascii="宋体" w:hAnsi="宋体" w:eastAsia="宋体" w:cs="宋体"/>
                <w:b/>
                <w:bCs/>
                <w:color w:val="auto"/>
                <w:sz w:val="18"/>
                <w:szCs w:val="18"/>
              </w:rPr>
              <w:t>年秋季</w:t>
            </w:r>
          </w:p>
        </w:tc>
        <w:tc>
          <w:tcPr>
            <w:tcW w:w="2333" w:type="dxa"/>
            <w:noWrap w:val="0"/>
            <w:vAlign w:val="center"/>
          </w:tcPr>
          <w:p>
            <w:pPr>
              <w:adjustRightInd w:val="0"/>
              <w:snapToGrid w:val="0"/>
              <w:spacing w:line="240" w:lineRule="exact"/>
              <w:jc w:val="center"/>
              <w:rPr>
                <w:rFonts w:hint="default"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217</w:t>
            </w:r>
          </w:p>
        </w:tc>
        <w:tc>
          <w:tcPr>
            <w:tcW w:w="2410" w:type="dxa"/>
            <w:noWrap w:val="0"/>
            <w:vAlign w:val="center"/>
          </w:tcPr>
          <w:p>
            <w:pPr>
              <w:adjustRightInd w:val="0"/>
              <w:snapToGrid w:val="0"/>
              <w:spacing w:line="240" w:lineRule="exact"/>
              <w:jc w:val="center"/>
              <w:rPr>
                <w:rFonts w:hint="default"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628" w:type="dxa"/>
            <w:noWrap w:val="0"/>
            <w:vAlign w:val="center"/>
          </w:tcPr>
          <w:p>
            <w:pPr>
              <w:adjustRightInd w:val="0"/>
              <w:snapToGrid w:val="0"/>
              <w:spacing w:line="240" w:lineRule="exact"/>
              <w:jc w:val="center"/>
              <w:rPr>
                <w:rFonts w:ascii="宋体" w:hAnsi="宋体" w:eastAsia="宋体" w:cs="Times New Roman"/>
                <w:b/>
                <w:bCs/>
                <w:color w:val="auto"/>
                <w:sz w:val="18"/>
                <w:szCs w:val="18"/>
              </w:rPr>
            </w:pPr>
            <w:r>
              <w:rPr>
                <w:rFonts w:ascii="宋体" w:hAnsi="宋体" w:eastAsia="宋体" w:cs="宋体"/>
                <w:b/>
                <w:bCs/>
                <w:color w:val="auto"/>
                <w:sz w:val="18"/>
                <w:szCs w:val="18"/>
              </w:rPr>
              <w:t>20</w:t>
            </w:r>
            <w:r>
              <w:rPr>
                <w:rFonts w:hint="eastAsia" w:ascii="宋体" w:hAnsi="宋体" w:eastAsia="宋体" w:cs="宋体"/>
                <w:b/>
                <w:bCs/>
                <w:color w:val="auto"/>
                <w:sz w:val="18"/>
                <w:szCs w:val="18"/>
                <w:lang w:val="en-US" w:eastAsia="zh-CN"/>
              </w:rPr>
              <w:t>20</w:t>
            </w:r>
            <w:r>
              <w:rPr>
                <w:rFonts w:hint="eastAsia" w:ascii="宋体" w:hAnsi="宋体" w:eastAsia="宋体" w:cs="宋体"/>
                <w:b/>
                <w:bCs/>
                <w:color w:val="auto"/>
                <w:sz w:val="18"/>
                <w:szCs w:val="18"/>
              </w:rPr>
              <w:t>年春季</w:t>
            </w:r>
          </w:p>
        </w:tc>
        <w:tc>
          <w:tcPr>
            <w:tcW w:w="2333" w:type="dxa"/>
            <w:noWrap w:val="0"/>
            <w:vAlign w:val="center"/>
          </w:tcPr>
          <w:p>
            <w:pPr>
              <w:adjustRightInd w:val="0"/>
              <w:snapToGrid w:val="0"/>
              <w:spacing w:line="240" w:lineRule="exact"/>
              <w:jc w:val="center"/>
              <w:rPr>
                <w:rFonts w:hint="default"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211</w:t>
            </w:r>
          </w:p>
        </w:tc>
        <w:tc>
          <w:tcPr>
            <w:tcW w:w="2410" w:type="dxa"/>
            <w:noWrap w:val="0"/>
            <w:vAlign w:val="center"/>
          </w:tcPr>
          <w:p>
            <w:pPr>
              <w:adjustRightInd w:val="0"/>
              <w:snapToGrid w:val="0"/>
              <w:spacing w:line="240" w:lineRule="exact"/>
              <w:jc w:val="center"/>
              <w:rPr>
                <w:rFonts w:hint="default"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67</w:t>
            </w:r>
          </w:p>
        </w:tc>
      </w:tr>
    </w:tbl>
    <w:p>
      <w:pPr>
        <w:pStyle w:val="3"/>
        <w:spacing w:before="0" w:after="0" w:line="240" w:lineRule="auto"/>
        <w:ind w:firstLine="560" w:firstLineChars="200"/>
        <w:rPr>
          <w:rFonts w:ascii="宋体" w:hAnsi="宋体" w:eastAsia="宋体" w:cs="Times New Roman"/>
          <w:b w:val="0"/>
          <w:bCs w:val="0"/>
          <w:color w:val="000000"/>
          <w:sz w:val="28"/>
          <w:szCs w:val="28"/>
        </w:rPr>
      </w:pPr>
      <w:r>
        <w:rPr>
          <w:rFonts w:ascii="宋体" w:hAnsi="宋体" w:eastAsia="宋体" w:cs="宋体"/>
          <w:b w:val="0"/>
          <w:bCs w:val="0"/>
          <w:color w:val="000000"/>
          <w:sz w:val="28"/>
          <w:szCs w:val="28"/>
        </w:rPr>
        <w:t>2.4</w:t>
      </w:r>
      <w:r>
        <w:rPr>
          <w:rFonts w:hint="eastAsia" w:ascii="宋体" w:hAnsi="宋体" w:eastAsia="宋体" w:cs="宋体"/>
          <w:b w:val="0"/>
          <w:bCs w:val="0"/>
          <w:color w:val="000000"/>
          <w:sz w:val="28"/>
          <w:szCs w:val="28"/>
        </w:rPr>
        <w:t>就业质量</w:t>
      </w:r>
      <w:bookmarkEnd w:id="17"/>
    </w:p>
    <w:p>
      <w:pPr>
        <w:ind w:firstLine="560" w:firstLineChars="200"/>
        <w:rPr>
          <w:rFonts w:hint="eastAsia" w:eastAsia="宋体" w:cs="宋体"/>
          <w:color w:val="auto"/>
          <w:sz w:val="28"/>
          <w:szCs w:val="28"/>
        </w:rPr>
      </w:pPr>
      <w:r>
        <w:rPr>
          <w:rFonts w:hint="eastAsia" w:ascii="Times New Roman" w:hAnsi="Times New Roman" w:eastAsia="宋体" w:cs="宋体"/>
          <w:color w:val="auto"/>
          <w:sz w:val="28"/>
          <w:szCs w:val="28"/>
        </w:rPr>
        <w:t>专业平均就业率为</w:t>
      </w:r>
      <w:r>
        <w:rPr>
          <w:rFonts w:hint="eastAsia" w:ascii="Times New Roman" w:hAnsi="Times New Roman" w:eastAsia="宋体" w:cs="Times New Roman"/>
          <w:color w:val="auto"/>
          <w:sz w:val="28"/>
          <w:szCs w:val="28"/>
          <w:lang w:val="en-US" w:eastAsia="zh-CN"/>
        </w:rPr>
        <w:t>91</w:t>
      </w:r>
      <w:r>
        <w:rPr>
          <w:rFonts w:ascii="Times New Roman" w:hAnsi="Times New Roman" w:eastAsia="宋体" w:cs="Times New Roman"/>
          <w:color w:val="auto"/>
          <w:sz w:val="28"/>
          <w:szCs w:val="28"/>
        </w:rPr>
        <w:t>.</w:t>
      </w:r>
      <w:r>
        <w:rPr>
          <w:rFonts w:hint="eastAsia" w:ascii="Times New Roman" w:hAnsi="Times New Roman" w:eastAsia="宋体" w:cs="Times New Roman"/>
          <w:color w:val="auto"/>
          <w:sz w:val="28"/>
          <w:szCs w:val="28"/>
          <w:lang w:val="en-US" w:eastAsia="zh-CN"/>
        </w:rPr>
        <w:t>4</w:t>
      </w:r>
      <w:r>
        <w:rPr>
          <w:rFonts w:ascii="Times New Roman" w:hAnsi="Times New Roman" w:eastAsia="宋体" w:cs="Times New Roman"/>
          <w:color w:val="auto"/>
          <w:sz w:val="28"/>
          <w:szCs w:val="28"/>
        </w:rPr>
        <w:t>3</w:t>
      </w:r>
      <w:r>
        <w:rPr>
          <w:rFonts w:eastAsia="宋体"/>
          <w:color w:val="auto"/>
          <w:sz w:val="28"/>
          <w:szCs w:val="28"/>
        </w:rPr>
        <w:t>%</w:t>
      </w:r>
      <w:r>
        <w:rPr>
          <w:rFonts w:hint="eastAsia" w:eastAsia="宋体" w:cs="宋体"/>
          <w:color w:val="auto"/>
          <w:sz w:val="28"/>
          <w:szCs w:val="28"/>
        </w:rPr>
        <w:t>，对口平均就业率为</w:t>
      </w:r>
      <w:r>
        <w:rPr>
          <w:rFonts w:hint="eastAsia" w:eastAsia="宋体"/>
          <w:color w:val="auto"/>
          <w:sz w:val="28"/>
          <w:szCs w:val="28"/>
          <w:lang w:val="en-US" w:eastAsia="zh-CN"/>
        </w:rPr>
        <w:t>87.50</w:t>
      </w:r>
      <w:r>
        <w:rPr>
          <w:rFonts w:eastAsia="宋体"/>
          <w:color w:val="auto"/>
          <w:sz w:val="28"/>
          <w:szCs w:val="28"/>
        </w:rPr>
        <w:t>%</w:t>
      </w:r>
      <w:r>
        <w:rPr>
          <w:rFonts w:hint="eastAsia" w:eastAsia="宋体" w:cs="宋体"/>
          <w:color w:val="auto"/>
          <w:sz w:val="28"/>
          <w:szCs w:val="28"/>
        </w:rPr>
        <w:t>，</w:t>
      </w:r>
      <w:r>
        <w:rPr>
          <w:rFonts w:hint="eastAsia" w:eastAsia="宋体" w:cs="宋体"/>
          <w:color w:val="auto"/>
          <w:sz w:val="28"/>
          <w:szCs w:val="28"/>
          <w:lang w:val="en-US" w:eastAsia="zh-CN"/>
        </w:rPr>
        <w:t>本地就业率为90.63%，升学率为5.7%，</w:t>
      </w:r>
      <w:r>
        <w:rPr>
          <w:rFonts w:hint="eastAsia" w:eastAsia="宋体" w:cs="宋体"/>
          <w:color w:val="auto"/>
          <w:sz w:val="28"/>
          <w:szCs w:val="28"/>
        </w:rPr>
        <w:t>初次就业起薪分别为</w:t>
      </w:r>
      <w:r>
        <w:rPr>
          <w:rFonts w:eastAsia="宋体"/>
          <w:color w:val="auto"/>
          <w:sz w:val="28"/>
          <w:szCs w:val="28"/>
        </w:rPr>
        <w:t>1000</w:t>
      </w:r>
      <w:r>
        <w:rPr>
          <w:rFonts w:hint="eastAsia" w:eastAsia="宋体" w:cs="宋体"/>
          <w:color w:val="auto"/>
          <w:sz w:val="28"/>
          <w:szCs w:val="28"/>
        </w:rPr>
        <w:t>～</w:t>
      </w:r>
      <w:r>
        <w:rPr>
          <w:rFonts w:eastAsia="宋体"/>
          <w:color w:val="auto"/>
          <w:sz w:val="28"/>
          <w:szCs w:val="28"/>
        </w:rPr>
        <w:t>2000</w:t>
      </w:r>
      <w:r>
        <w:rPr>
          <w:rFonts w:hint="eastAsia" w:eastAsia="宋体" w:cs="宋体"/>
          <w:color w:val="auto"/>
          <w:sz w:val="28"/>
          <w:szCs w:val="28"/>
        </w:rPr>
        <w:t>元、</w:t>
      </w:r>
      <w:r>
        <w:rPr>
          <w:rFonts w:eastAsia="宋体"/>
          <w:color w:val="auto"/>
          <w:sz w:val="28"/>
          <w:szCs w:val="28"/>
        </w:rPr>
        <w:t>2000</w:t>
      </w:r>
      <w:r>
        <w:rPr>
          <w:rFonts w:hint="eastAsia" w:eastAsia="宋体" w:cs="宋体"/>
          <w:color w:val="auto"/>
          <w:sz w:val="28"/>
          <w:szCs w:val="28"/>
        </w:rPr>
        <w:t>～</w:t>
      </w:r>
      <w:r>
        <w:rPr>
          <w:rFonts w:eastAsia="宋体"/>
          <w:color w:val="auto"/>
          <w:sz w:val="28"/>
          <w:szCs w:val="28"/>
        </w:rPr>
        <w:t>3000</w:t>
      </w:r>
      <w:r>
        <w:rPr>
          <w:rFonts w:hint="eastAsia" w:eastAsia="宋体" w:cs="宋体"/>
          <w:color w:val="auto"/>
          <w:sz w:val="28"/>
          <w:szCs w:val="28"/>
        </w:rPr>
        <w:t>元不等。</w:t>
      </w:r>
    </w:p>
    <w:p>
      <w:pPr>
        <w:ind w:firstLine="640" w:firstLineChars="200"/>
      </w:pPr>
      <w:r>
        <w:drawing>
          <wp:inline distT="0" distB="0" distL="114300" distR="114300">
            <wp:extent cx="4678680" cy="2849880"/>
            <wp:effectExtent l="4445" t="4445" r="10795" b="41275"/>
            <wp:docPr id="4"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pPr>
        <w:jc w:val="center"/>
        <w:rPr>
          <w:rFonts w:hint="default" w:eastAsia="方正仿宋_GBK"/>
          <w:lang w:val="en-US" w:eastAsia="zh-CN"/>
        </w:rPr>
      </w:pPr>
      <w:r>
        <w:rPr>
          <w:rFonts w:hint="eastAsia"/>
          <w:lang w:val="en-US" w:eastAsia="zh-CN"/>
        </w:rPr>
        <w:t xml:space="preserve">  </w:t>
      </w:r>
      <w:r>
        <w:rPr>
          <w:rFonts w:hint="eastAsia" w:ascii="宋体" w:hAnsi="宋体" w:eastAsia="宋体" w:cs="宋体"/>
          <w:sz w:val="28"/>
          <w:szCs w:val="28"/>
        </w:rPr>
        <w:t>图</w:t>
      </w:r>
      <w:r>
        <w:rPr>
          <w:rFonts w:hint="eastAsia" w:ascii="宋体" w:hAnsi="宋体" w:eastAsia="宋体" w:cs="宋体"/>
          <w:sz w:val="28"/>
          <w:szCs w:val="28"/>
          <w:lang w:val="en-US" w:eastAsia="zh-CN"/>
        </w:rPr>
        <w:t>5毕业生就业和升学情况</w:t>
      </w:r>
    </w:p>
    <w:p>
      <w:pPr>
        <w:pStyle w:val="3"/>
        <w:spacing w:before="0" w:after="0" w:line="240" w:lineRule="auto"/>
        <w:ind w:firstLine="560" w:firstLineChars="200"/>
        <w:rPr>
          <w:rFonts w:ascii="宋体" w:hAnsi="宋体" w:eastAsia="宋体" w:cs="Times New Roman"/>
          <w:b w:val="0"/>
          <w:bCs w:val="0"/>
          <w:color w:val="000000"/>
          <w:sz w:val="28"/>
          <w:szCs w:val="28"/>
        </w:rPr>
      </w:pPr>
      <w:bookmarkStart w:id="18" w:name="_Toc34123278"/>
      <w:r>
        <w:rPr>
          <w:rFonts w:ascii="宋体" w:hAnsi="宋体" w:eastAsia="宋体" w:cs="宋体"/>
          <w:b w:val="0"/>
          <w:bCs w:val="0"/>
          <w:color w:val="000000"/>
          <w:sz w:val="28"/>
          <w:szCs w:val="28"/>
        </w:rPr>
        <w:t>2.5</w:t>
      </w:r>
      <w:r>
        <w:rPr>
          <w:rFonts w:hint="eastAsia" w:ascii="宋体" w:hAnsi="宋体" w:eastAsia="宋体" w:cs="宋体"/>
          <w:b w:val="0"/>
          <w:bCs w:val="0"/>
          <w:color w:val="000000"/>
          <w:sz w:val="28"/>
          <w:szCs w:val="28"/>
        </w:rPr>
        <w:t>职业发展</w:t>
      </w:r>
      <w:bookmarkEnd w:id="18"/>
    </w:p>
    <w:p>
      <w:pPr>
        <w:ind w:firstLine="560" w:firstLineChars="200"/>
        <w:rPr>
          <w:rFonts w:hint="eastAsia" w:ascii="宋体" w:hAnsi="宋体" w:eastAsia="宋体" w:cs="宋体"/>
          <w:sz w:val="28"/>
          <w:szCs w:val="28"/>
        </w:rPr>
      </w:pPr>
      <w:r>
        <w:rPr>
          <w:rFonts w:hint="eastAsia" w:ascii="宋体" w:hAnsi="宋体" w:eastAsia="宋体" w:cs="宋体"/>
          <w:sz w:val="28"/>
          <w:szCs w:val="28"/>
        </w:rPr>
        <w:t>职业中学学生入学成绩差，自身基础薄弱，所以造成自主学习能力较差，以被动学习为主，为此学校积极推进办学模式改革，旨在提升教育质量，增强服务社会经济发展的能力，而检验职业教育质量的主要标准就是职场能力。对于职场能力的三个方面，职场核心能力、通用管理能力、通用生产能力。这些能力除了在日常教学、生活、技能实践中得以历练，更重要的还得利用企业的资源，学校采用“校企合作、工学结合”的人才培养模式，提高学生的专业能力和职业素养</w:t>
      </w:r>
      <w:r>
        <w:rPr>
          <w:rFonts w:hint="eastAsia" w:ascii="宋体" w:hAnsi="宋体" w:eastAsia="宋体" w:cs="宋体"/>
          <w:sz w:val="28"/>
          <w:szCs w:val="28"/>
          <w:lang w:eastAsia="zh-CN"/>
        </w:rPr>
        <w:t>，</w:t>
      </w:r>
      <w:r>
        <w:rPr>
          <w:rFonts w:hint="eastAsia" w:ascii="宋体" w:hAnsi="宋体" w:eastAsia="宋体" w:cs="宋体"/>
          <w:sz w:val="28"/>
          <w:szCs w:val="28"/>
        </w:rPr>
        <w:t>为学生更早、更多地提供企业的岗位环境、企业的文化制度、企业的评价规划、企业的道德规范与行业规划，对学生进行熏染和教育，使学生能够更多地感受岗位责任的担当、体验到能力素养的考验、环境氛围的压力，养成更好的职业素养，具备更优秀的职业能力品质，继而实现更早更好地适应、融入、胜任企业工作岗位需要。真正实现人才共通、利益共享，使学生学习能力得以大程度提高。</w:t>
      </w:r>
    </w:p>
    <w:p>
      <w:pPr>
        <w:ind w:firstLine="560" w:firstLineChars="200"/>
        <w:rPr>
          <w:rFonts w:hint="eastAsia" w:ascii="宋体" w:hAnsi="宋体" w:eastAsia="宋体" w:cs="宋体"/>
          <w:sz w:val="28"/>
          <w:szCs w:val="28"/>
        </w:rPr>
      </w:pPr>
      <w:r>
        <w:rPr>
          <w:rFonts w:hint="eastAsia" w:ascii="宋体" w:hAnsi="宋体" w:eastAsia="宋体" w:cs="宋体"/>
          <w:sz w:val="28"/>
          <w:szCs w:val="28"/>
        </w:rPr>
        <w:t>当今企业更加需要学校培养综合能力全面的员工，学校通过强化核心培养、职业技能、创新创业能力三个方面来培养学生职业岗位迁移能力。学校定期开设专家讲座和校企交流等，培养学生岗位适应能力，此外，还开设了礼仪、职业生涯规划、社会主义核心价值观等核心素养课程，影响学生的价值观和人生视野。学校从岗位要求出发，规划专业课程，达到专业与产业，职业岗位的对接，课程内容与职业标准对接，教学过程与生产过程对接，职业教育与终身学习对接。</w:t>
      </w:r>
    </w:p>
    <w:p>
      <w:pPr>
        <w:pStyle w:val="2"/>
        <w:spacing w:before="0" w:after="0" w:line="240" w:lineRule="auto"/>
        <w:ind w:firstLine="640" w:firstLineChars="200"/>
        <w:rPr>
          <w:rFonts w:ascii="黑体" w:hAnsi="黑体" w:eastAsia="黑体" w:cs="Times New Roman"/>
          <w:b w:val="0"/>
          <w:bCs w:val="0"/>
          <w:sz w:val="32"/>
          <w:szCs w:val="32"/>
        </w:rPr>
      </w:pPr>
      <w:bookmarkStart w:id="19" w:name="_Toc34123279"/>
      <w:r>
        <w:rPr>
          <w:rFonts w:ascii="黑体" w:hAnsi="黑体" w:eastAsia="黑体" w:cs="黑体"/>
          <w:b w:val="0"/>
          <w:bCs w:val="0"/>
          <w:sz w:val="32"/>
          <w:szCs w:val="32"/>
        </w:rPr>
        <w:t>3.</w:t>
      </w:r>
      <w:r>
        <w:rPr>
          <w:rFonts w:hint="eastAsia" w:ascii="黑体" w:hAnsi="黑体" w:eastAsia="黑体" w:cs="黑体"/>
          <w:b w:val="0"/>
          <w:bCs w:val="0"/>
          <w:sz w:val="32"/>
          <w:szCs w:val="32"/>
        </w:rPr>
        <w:t>质量保障措施</w:t>
      </w:r>
      <w:bookmarkEnd w:id="19"/>
    </w:p>
    <w:p>
      <w:pPr>
        <w:pStyle w:val="3"/>
        <w:spacing w:before="0" w:after="0" w:line="240" w:lineRule="auto"/>
        <w:ind w:firstLine="560" w:firstLineChars="200"/>
        <w:rPr>
          <w:rFonts w:ascii="宋体" w:hAnsi="宋体" w:eastAsia="宋体" w:cs="Times New Roman"/>
          <w:b w:val="0"/>
          <w:bCs w:val="0"/>
          <w:sz w:val="28"/>
          <w:szCs w:val="28"/>
        </w:rPr>
      </w:pPr>
      <w:bookmarkStart w:id="20" w:name="_Toc34123280"/>
      <w:r>
        <w:rPr>
          <w:rFonts w:ascii="宋体" w:hAnsi="宋体" w:eastAsia="宋体" w:cs="宋体"/>
          <w:b w:val="0"/>
          <w:bCs w:val="0"/>
          <w:sz w:val="28"/>
          <w:szCs w:val="28"/>
        </w:rPr>
        <w:t>3.1</w:t>
      </w:r>
      <w:r>
        <w:rPr>
          <w:rFonts w:hint="eastAsia" w:ascii="宋体" w:hAnsi="宋体" w:eastAsia="宋体" w:cs="宋体"/>
          <w:b w:val="0"/>
          <w:bCs w:val="0"/>
          <w:sz w:val="28"/>
          <w:szCs w:val="28"/>
        </w:rPr>
        <w:t>专业动态调整</w:t>
      </w:r>
      <w:bookmarkEnd w:id="20"/>
    </w:p>
    <w:p>
      <w:pPr>
        <w:ind w:firstLine="560" w:firstLineChars="200"/>
        <w:rPr>
          <w:rFonts w:hint="eastAsia" w:ascii="宋体" w:hAnsi="宋体" w:eastAsia="宋体" w:cs="宋体"/>
          <w:sz w:val="28"/>
          <w:szCs w:val="28"/>
        </w:rPr>
      </w:pPr>
      <w:bookmarkStart w:id="21" w:name="_Toc535586430"/>
      <w:r>
        <w:rPr>
          <w:rFonts w:hint="eastAsia" w:ascii="宋体" w:hAnsi="宋体" w:eastAsia="宋体" w:cs="宋体"/>
          <w:sz w:val="28"/>
          <w:szCs w:val="28"/>
          <w:lang w:val="en-US" w:eastAsia="zh-CN"/>
        </w:rPr>
        <w:t>学校</w:t>
      </w:r>
      <w:r>
        <w:rPr>
          <w:rFonts w:hint="eastAsia" w:ascii="宋体" w:hAnsi="宋体" w:eastAsia="宋体" w:cs="宋体"/>
          <w:sz w:val="28"/>
          <w:szCs w:val="28"/>
        </w:rPr>
        <w:t>校建立并完善人才需求与专业设置动态调整机制，学校各专业均成立了由行业企业专家和学校骨干教师组成的专业建设委员会，进行广泛的调研，并根据调研结果和学校专业建设规划制定了各专业建设规划和每年的年度发展建设实施规划，并在每年度进行专业建设工作总结。</w:t>
      </w:r>
    </w:p>
    <w:p>
      <w:pPr>
        <w:ind w:firstLine="560" w:firstLineChars="200"/>
        <w:rPr>
          <w:rFonts w:hint="eastAsia" w:ascii="宋体" w:hAnsi="宋体" w:eastAsia="宋体" w:cs="宋体"/>
          <w:sz w:val="28"/>
          <w:szCs w:val="28"/>
        </w:rPr>
      </w:pPr>
      <w:r>
        <w:rPr>
          <w:rFonts w:hint="eastAsia" w:ascii="宋体" w:hAnsi="宋体" w:eastAsia="宋体" w:cs="宋体"/>
          <w:sz w:val="28"/>
          <w:szCs w:val="28"/>
        </w:rPr>
        <w:t>按照教育与产业、学校与企业、专业设置与职业岗位相对接的原则，根据学校的办学能力和实际情况进行专业动态调整，主动适应区域产业结构优化升级要求，面向</w:t>
      </w:r>
      <w:r>
        <w:rPr>
          <w:rFonts w:hint="eastAsia" w:ascii="宋体" w:hAnsi="宋体" w:eastAsia="宋体" w:cs="宋体"/>
          <w:sz w:val="28"/>
          <w:szCs w:val="28"/>
          <w:lang w:val="en-US" w:eastAsia="zh-CN"/>
        </w:rPr>
        <w:t>行业</w:t>
      </w:r>
      <w:r>
        <w:rPr>
          <w:rFonts w:hint="eastAsia" w:ascii="宋体" w:hAnsi="宋体" w:eastAsia="宋体" w:cs="宋体"/>
          <w:sz w:val="28"/>
          <w:szCs w:val="28"/>
        </w:rPr>
        <w:t>重点产业、</w:t>
      </w:r>
      <w:r>
        <w:rPr>
          <w:rFonts w:hint="eastAsia" w:ascii="宋体" w:hAnsi="宋体" w:eastAsia="宋体" w:cs="宋体"/>
          <w:sz w:val="28"/>
          <w:szCs w:val="28"/>
          <w:lang w:val="en-US" w:eastAsia="zh-CN"/>
        </w:rPr>
        <w:t>优势</w:t>
      </w:r>
      <w:r>
        <w:rPr>
          <w:rFonts w:hint="eastAsia" w:ascii="宋体" w:hAnsi="宋体" w:eastAsia="宋体" w:cs="宋体"/>
          <w:sz w:val="28"/>
          <w:szCs w:val="28"/>
        </w:rPr>
        <w:t>产业和战略性新兴产业，现开设有</w:t>
      </w:r>
      <w:r>
        <w:rPr>
          <w:rFonts w:ascii="宋体" w:hAnsi="宋体" w:eastAsia="宋体" w:cs="宋体"/>
          <w:sz w:val="28"/>
          <w:szCs w:val="28"/>
        </w:rPr>
        <w:t>5</w:t>
      </w:r>
      <w:r>
        <w:rPr>
          <w:rFonts w:hint="eastAsia" w:ascii="宋体" w:hAnsi="宋体" w:eastAsia="宋体" w:cs="宋体"/>
          <w:sz w:val="28"/>
          <w:szCs w:val="28"/>
        </w:rPr>
        <w:t>个专业，</w:t>
      </w:r>
      <w:r>
        <w:rPr>
          <w:rFonts w:ascii="宋体" w:hAnsi="宋体" w:eastAsia="宋体" w:cs="宋体"/>
          <w:sz w:val="28"/>
          <w:szCs w:val="28"/>
        </w:rPr>
        <w:t>4</w:t>
      </w:r>
      <w:r>
        <w:rPr>
          <w:rFonts w:hint="eastAsia" w:ascii="宋体" w:hAnsi="宋体" w:eastAsia="宋体" w:cs="宋体"/>
          <w:sz w:val="28"/>
          <w:szCs w:val="28"/>
        </w:rPr>
        <w:t>个专业大类</w:t>
      </w:r>
      <w:r>
        <w:rPr>
          <w:rFonts w:hint="eastAsia" w:ascii="宋体" w:hAnsi="宋体" w:eastAsia="宋体" w:cs="宋体"/>
          <w:sz w:val="28"/>
          <w:szCs w:val="28"/>
          <w:lang w:eastAsia="zh-CN"/>
        </w:rPr>
        <w:t>，</w:t>
      </w:r>
      <w:r>
        <w:rPr>
          <w:rFonts w:hint="eastAsia" w:ascii="宋体" w:hAnsi="宋体" w:eastAsia="宋体" w:cs="宋体"/>
          <w:sz w:val="28"/>
          <w:szCs w:val="28"/>
        </w:rPr>
        <w:t>重点建设</w:t>
      </w:r>
      <w:r>
        <w:rPr>
          <w:rFonts w:hint="eastAsia" w:ascii="宋体" w:hAnsi="宋体" w:eastAsia="宋体" w:cs="宋体"/>
          <w:sz w:val="28"/>
          <w:szCs w:val="28"/>
          <w:lang w:val="en-US" w:eastAsia="zh-CN"/>
        </w:rPr>
        <w:t>测绘工程</w:t>
      </w:r>
      <w:r>
        <w:rPr>
          <w:rFonts w:hint="eastAsia" w:ascii="宋体" w:hAnsi="宋体" w:eastAsia="宋体" w:cs="宋体"/>
          <w:sz w:val="28"/>
          <w:szCs w:val="28"/>
        </w:rPr>
        <w:t>、</w:t>
      </w:r>
      <w:r>
        <w:rPr>
          <w:rFonts w:hint="eastAsia" w:ascii="宋体" w:hAnsi="宋体" w:eastAsia="宋体" w:cs="宋体"/>
          <w:sz w:val="28"/>
          <w:szCs w:val="28"/>
          <w:lang w:val="en-US" w:eastAsia="zh-CN"/>
        </w:rPr>
        <w:t>珠宝鉴定与营销</w:t>
      </w:r>
      <w:r>
        <w:rPr>
          <w:rFonts w:hint="eastAsia" w:ascii="宋体" w:hAnsi="宋体" w:eastAsia="宋体" w:cs="宋体"/>
          <w:sz w:val="28"/>
          <w:szCs w:val="28"/>
        </w:rPr>
        <w:t>、</w:t>
      </w:r>
      <w:r>
        <w:rPr>
          <w:rFonts w:hint="eastAsia" w:ascii="宋体" w:hAnsi="宋体" w:eastAsia="宋体" w:cs="宋体"/>
          <w:sz w:val="28"/>
          <w:szCs w:val="28"/>
          <w:lang w:val="en-US" w:eastAsia="zh-CN"/>
        </w:rPr>
        <w:t>汽车运用与维修</w:t>
      </w:r>
      <w:r>
        <w:rPr>
          <w:rFonts w:hint="eastAsia" w:ascii="宋体" w:hAnsi="宋体" w:eastAsia="宋体" w:cs="宋体"/>
          <w:sz w:val="28"/>
          <w:szCs w:val="28"/>
        </w:rPr>
        <w:t>、</w:t>
      </w:r>
      <w:r>
        <w:rPr>
          <w:rFonts w:hint="eastAsia" w:ascii="宋体" w:hAnsi="宋体" w:eastAsia="宋体" w:cs="宋体"/>
          <w:sz w:val="28"/>
          <w:szCs w:val="28"/>
          <w:lang w:val="en-US" w:eastAsia="zh-CN"/>
        </w:rPr>
        <w:t>建筑工程与施工</w:t>
      </w:r>
      <w:r>
        <w:rPr>
          <w:rFonts w:hint="eastAsia" w:ascii="宋体" w:hAnsi="宋体" w:eastAsia="宋体" w:cs="宋体"/>
          <w:sz w:val="28"/>
          <w:szCs w:val="28"/>
        </w:rPr>
        <w:t>、计算机应用专业</w:t>
      </w:r>
      <w:r>
        <w:rPr>
          <w:rFonts w:hint="eastAsia" w:ascii="宋体" w:hAnsi="宋体" w:eastAsia="宋体" w:cs="宋体"/>
          <w:sz w:val="28"/>
          <w:szCs w:val="28"/>
          <w:lang w:val="en-US" w:eastAsia="zh-CN"/>
        </w:rPr>
        <w:t>以及相关专业应用</w:t>
      </w:r>
      <w:r>
        <w:rPr>
          <w:rFonts w:hint="eastAsia" w:ascii="宋体" w:hAnsi="宋体" w:eastAsia="宋体" w:cs="宋体"/>
          <w:sz w:val="28"/>
          <w:szCs w:val="28"/>
        </w:rPr>
        <w:t>方向。</w:t>
      </w:r>
    </w:p>
    <w:p>
      <w:pPr>
        <w:ind w:firstLine="560" w:firstLineChars="200"/>
        <w:rPr>
          <w:rFonts w:ascii="宋体" w:hAnsi="宋体" w:eastAsia="宋体" w:cs="Times New Roman"/>
          <w:sz w:val="28"/>
          <w:szCs w:val="28"/>
        </w:rPr>
      </w:pPr>
      <w:r>
        <w:rPr>
          <w:rFonts w:hint="eastAsia" w:ascii="宋体" w:hAnsi="宋体" w:eastAsia="宋体" w:cs="宋体"/>
          <w:sz w:val="28"/>
          <w:szCs w:val="28"/>
          <w:lang w:val="en-US" w:eastAsia="zh-CN"/>
        </w:rPr>
        <w:t>2020</w:t>
      </w:r>
      <w:r>
        <w:rPr>
          <w:rFonts w:hint="eastAsia" w:ascii="宋体" w:hAnsi="宋体" w:eastAsia="宋体" w:cs="宋体"/>
          <w:sz w:val="28"/>
          <w:szCs w:val="28"/>
        </w:rPr>
        <w:t>年</w:t>
      </w:r>
      <w:r>
        <w:rPr>
          <w:rFonts w:hint="eastAsia" w:ascii="宋体" w:hAnsi="宋体" w:eastAsia="宋体" w:cs="宋体"/>
          <w:sz w:val="28"/>
          <w:szCs w:val="28"/>
          <w:lang w:val="en-US" w:eastAsia="zh-CN"/>
        </w:rPr>
        <w:t>根据专业方向正积极申报航空摄影测量专业和无人机操控专业</w:t>
      </w:r>
      <w:r>
        <w:rPr>
          <w:rFonts w:hint="eastAsia" w:ascii="宋体" w:hAnsi="宋体" w:eastAsia="宋体" w:cs="宋体"/>
          <w:sz w:val="28"/>
          <w:szCs w:val="28"/>
        </w:rPr>
        <w:t>，使专业设置随着产业结构调整而变化，专业设置紧跟区域产业发展步伐，形成了有效的专业动态调整机制。</w:t>
      </w:r>
    </w:p>
    <w:bookmarkEnd w:id="21"/>
    <w:p>
      <w:pPr>
        <w:pStyle w:val="3"/>
        <w:spacing w:before="0" w:after="0" w:line="240" w:lineRule="auto"/>
        <w:ind w:firstLine="560" w:firstLineChars="200"/>
        <w:rPr>
          <w:rFonts w:ascii="宋体" w:hAnsi="宋体" w:eastAsia="宋体" w:cs="Times New Roman"/>
          <w:b w:val="0"/>
          <w:bCs w:val="0"/>
          <w:sz w:val="28"/>
          <w:szCs w:val="28"/>
        </w:rPr>
      </w:pPr>
      <w:bookmarkStart w:id="22" w:name="_Toc34123281"/>
      <w:r>
        <w:rPr>
          <w:rFonts w:ascii="宋体" w:hAnsi="宋体" w:eastAsia="宋体" w:cs="宋体"/>
          <w:b w:val="0"/>
          <w:bCs w:val="0"/>
          <w:sz w:val="28"/>
          <w:szCs w:val="28"/>
        </w:rPr>
        <w:t>3.2</w:t>
      </w:r>
      <w:r>
        <w:rPr>
          <w:rFonts w:hint="eastAsia" w:ascii="宋体" w:hAnsi="宋体" w:eastAsia="宋体" w:cs="宋体"/>
          <w:b w:val="0"/>
          <w:bCs w:val="0"/>
          <w:sz w:val="28"/>
          <w:szCs w:val="28"/>
        </w:rPr>
        <w:t>教育教学改革</w:t>
      </w:r>
      <w:bookmarkEnd w:id="22"/>
    </w:p>
    <w:p>
      <w:pPr>
        <w:widowControl/>
        <w:shd w:val="clear" w:color="auto" w:fill="FFFFFF"/>
        <w:ind w:firstLine="560" w:firstLineChars="200"/>
        <w:jc w:val="left"/>
        <w:rPr>
          <w:rFonts w:ascii="宋体" w:hAnsi="宋体" w:eastAsia="宋体" w:cs="Times New Roman"/>
          <w:kern w:val="0"/>
          <w:sz w:val="28"/>
          <w:szCs w:val="28"/>
          <w:shd w:val="clear" w:color="auto" w:fill="FFFFFF"/>
        </w:rPr>
      </w:pPr>
      <w:r>
        <w:rPr>
          <w:rFonts w:ascii="宋体" w:hAnsi="宋体" w:eastAsia="宋体" w:cs="宋体"/>
          <w:kern w:val="0"/>
          <w:sz w:val="28"/>
          <w:szCs w:val="28"/>
          <w:shd w:val="clear" w:color="auto" w:fill="FFFFFF"/>
        </w:rPr>
        <w:t>3.2.1</w:t>
      </w:r>
      <w:r>
        <w:rPr>
          <w:rFonts w:hint="eastAsia" w:ascii="宋体" w:hAnsi="宋体" w:eastAsia="宋体" w:cs="宋体"/>
          <w:kern w:val="0"/>
          <w:sz w:val="28"/>
          <w:szCs w:val="28"/>
          <w:shd w:val="clear" w:color="auto" w:fill="FFFFFF"/>
        </w:rPr>
        <w:t>公共基础课设置</w:t>
      </w:r>
    </w:p>
    <w:p>
      <w:pPr>
        <w:ind w:firstLine="560" w:firstLineChars="200"/>
        <w:rPr>
          <w:rFonts w:ascii="宋体" w:hAnsi="宋体" w:eastAsia="宋体" w:cs="Times New Roman"/>
          <w:sz w:val="28"/>
          <w:szCs w:val="28"/>
        </w:rPr>
      </w:pPr>
      <w:r>
        <w:rPr>
          <w:rFonts w:hint="eastAsia" w:ascii="宋体" w:hAnsi="宋体" w:eastAsia="宋体" w:cs="宋体"/>
          <w:sz w:val="28"/>
          <w:szCs w:val="28"/>
          <w:lang w:val="en-US" w:eastAsia="zh-CN"/>
        </w:rPr>
        <w:t>学校按照《中等职业院校公共课基础课教学标准》开设德育、语文、数学、英语、体育与健康、信息技术等课程，严格执行国家教育部有关文件规定，选用国家规划教材并根据学生的实际情况，编写校本教材。同时在基础年级开设《德育》课程，完成学生从“职业生涯规划”到“哲学与人生”的转变。初步做到了坚持有利于以学生为本、有利于促进公平正义和有利于加强师资队伍建设的三个原则，对于教学建设具有较为明显的促进作用。</w:t>
      </w:r>
    </w:p>
    <w:p>
      <w:pPr>
        <w:ind w:firstLine="560" w:firstLineChars="200"/>
        <w:rPr>
          <w:rFonts w:ascii="宋体" w:hAnsi="宋体" w:eastAsia="宋体" w:cs="Times New Roman"/>
          <w:kern w:val="0"/>
          <w:sz w:val="28"/>
          <w:szCs w:val="28"/>
          <w:shd w:val="clear" w:color="auto" w:fill="FFFFFF"/>
        </w:rPr>
      </w:pPr>
      <w:r>
        <w:rPr>
          <w:rFonts w:ascii="宋体" w:hAnsi="宋体" w:eastAsia="宋体" w:cs="宋体"/>
          <w:kern w:val="0"/>
          <w:sz w:val="28"/>
          <w:szCs w:val="28"/>
          <w:shd w:val="clear" w:color="auto" w:fill="FFFFFF"/>
        </w:rPr>
        <w:t>3.2.2</w:t>
      </w:r>
      <w:r>
        <w:rPr>
          <w:rFonts w:hint="eastAsia" w:ascii="宋体" w:hAnsi="宋体" w:eastAsia="宋体" w:cs="宋体"/>
          <w:kern w:val="0"/>
          <w:sz w:val="28"/>
          <w:szCs w:val="28"/>
          <w:shd w:val="clear" w:color="auto" w:fill="FFFFFF"/>
        </w:rPr>
        <w:t>专业设置</w:t>
      </w:r>
    </w:p>
    <w:p>
      <w:pPr>
        <w:ind w:firstLine="560" w:firstLineChars="200"/>
        <w:rPr>
          <w:rFonts w:ascii="宋体" w:hAnsi="宋体" w:eastAsia="宋体" w:cs="Times New Roman"/>
          <w:sz w:val="28"/>
          <w:szCs w:val="28"/>
        </w:rPr>
      </w:pPr>
      <w:r>
        <w:rPr>
          <w:rFonts w:hint="eastAsia" w:ascii="宋体" w:hAnsi="宋体" w:eastAsia="宋体" w:cs="宋体"/>
          <w:sz w:val="28"/>
          <w:szCs w:val="28"/>
        </w:rPr>
        <w:t>学校专业设置基本符合区域经济发展布局要求，按照《中等职业学校专业目录》进行专业设置，严格申报专业程序。根据本地经济发展的需要，在开设新专业、增强学校专业活力的同时，不断强化原有专业的建设，同时开展重点专业、骨干专业建设。专业人才培养以学生综合素质发展为目标，将能力培养放在中心位置，优化课程结构，加强教材建设，制定与岗位需求相适应的课程标准，促进专业建设发展。</w:t>
      </w:r>
    </w:p>
    <w:p>
      <w:pPr>
        <w:widowControl/>
        <w:shd w:val="clear" w:color="auto" w:fill="FFFFFF"/>
        <w:ind w:firstLine="560" w:firstLineChars="200"/>
        <w:jc w:val="left"/>
        <w:rPr>
          <w:rFonts w:ascii="宋体" w:hAnsi="宋体" w:eastAsia="宋体" w:cs="Times New Roman"/>
          <w:kern w:val="0"/>
          <w:sz w:val="28"/>
          <w:szCs w:val="28"/>
          <w:shd w:val="clear" w:color="auto" w:fill="FFFFFF"/>
        </w:rPr>
      </w:pPr>
      <w:r>
        <w:rPr>
          <w:rFonts w:ascii="宋体" w:hAnsi="宋体" w:eastAsia="宋体" w:cs="宋体"/>
          <w:kern w:val="0"/>
          <w:sz w:val="28"/>
          <w:szCs w:val="28"/>
          <w:shd w:val="clear" w:color="auto" w:fill="FFFFFF"/>
        </w:rPr>
        <w:t>3.2.3</w:t>
      </w:r>
      <w:r>
        <w:rPr>
          <w:rFonts w:hint="eastAsia" w:ascii="宋体" w:hAnsi="宋体" w:eastAsia="宋体" w:cs="宋体"/>
          <w:kern w:val="0"/>
          <w:sz w:val="28"/>
          <w:szCs w:val="28"/>
          <w:shd w:val="clear" w:color="auto" w:fill="FFFFFF"/>
        </w:rPr>
        <w:t>师资队伍建设</w:t>
      </w:r>
    </w:p>
    <w:p>
      <w:pPr>
        <w:ind w:firstLine="560" w:firstLineChars="200"/>
        <w:rPr>
          <w:rFonts w:ascii="宋体" w:hAnsi="宋体" w:eastAsia="宋体" w:cs="Times New Roman"/>
          <w:sz w:val="28"/>
          <w:szCs w:val="28"/>
        </w:rPr>
      </w:pPr>
      <w:r>
        <w:rPr>
          <w:rFonts w:hint="eastAsia" w:ascii="宋体" w:hAnsi="宋体" w:eastAsia="宋体" w:cs="宋体"/>
          <w:sz w:val="28"/>
          <w:szCs w:val="28"/>
        </w:rPr>
        <w:t>学校根据师资队伍发展需要，制订了教师队伍建设规划，明确了师资队伍建设项目，根据专业发展需要，建立了师资队伍建设的长效机制，制定了《教师参加企业实践制度》《教师听课制度》《专业带头人培养办法》《教师进修管理办法》等制度，并注重制度的实施与落实，保证了教师队伍健康有序的发展。采取校本培训、继续教育培训、专业能力提升等培训，加大“双师型”教师的培养力度，及时落实国培、省培计划，跟踪了解参训教师的学习情况。开展交流活动，选派优秀教师到相关学校及企业学习交流，参加技能大赛等，提高师资队伍建设水平。</w:t>
      </w:r>
    </w:p>
    <w:p>
      <w:pPr>
        <w:ind w:firstLine="560" w:firstLineChars="200"/>
        <w:rPr>
          <w:rFonts w:ascii="宋体" w:hAnsi="宋体" w:eastAsia="宋体" w:cs="Times New Roman"/>
          <w:kern w:val="0"/>
          <w:sz w:val="28"/>
          <w:szCs w:val="28"/>
          <w:shd w:val="clear" w:color="auto" w:fill="FFFFFF"/>
        </w:rPr>
      </w:pPr>
      <w:r>
        <w:rPr>
          <w:rFonts w:ascii="宋体" w:hAnsi="宋体" w:eastAsia="宋体" w:cs="宋体"/>
          <w:kern w:val="0"/>
          <w:sz w:val="28"/>
          <w:szCs w:val="28"/>
          <w:shd w:val="clear" w:color="auto" w:fill="FFFFFF"/>
        </w:rPr>
        <w:t>3.2.4</w:t>
      </w:r>
      <w:r>
        <w:rPr>
          <w:rFonts w:hint="eastAsia" w:ascii="宋体" w:hAnsi="宋体" w:eastAsia="宋体" w:cs="宋体"/>
          <w:kern w:val="0"/>
          <w:sz w:val="28"/>
          <w:szCs w:val="28"/>
          <w:shd w:val="clear" w:color="auto" w:fill="FFFFFF"/>
        </w:rPr>
        <w:t>课程建设</w:t>
      </w:r>
    </w:p>
    <w:p>
      <w:pPr>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构</w:t>
      </w:r>
      <w:r>
        <w:rPr>
          <w:rFonts w:hint="eastAsia" w:ascii="宋体" w:hAnsi="宋体" w:eastAsia="宋体" w:cs="宋体"/>
          <w:sz w:val="28"/>
          <w:szCs w:val="28"/>
        </w:rPr>
        <w:t>建完善的课程体系。我校课程体系由：德育课程体系、文化基础课程体系与专业课程体系等三大课程体系组成。德育主干课程有《生涯规划与职业指导》《哲学与人生》《职业道德与法律》《就业指导与创业教育》《心理学》《心理健康教育》《经济政治与社会》等。文化课主干课程有：《语文》《数学》《英语》</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信息技术</w:t>
      </w:r>
      <w:r>
        <w:rPr>
          <w:rFonts w:hint="eastAsia" w:ascii="宋体" w:hAnsi="宋体" w:eastAsia="宋体" w:cs="宋体"/>
          <w:sz w:val="28"/>
          <w:szCs w:val="28"/>
          <w:lang w:eastAsia="zh-CN"/>
        </w:rPr>
        <w:t>》</w:t>
      </w:r>
      <w:r>
        <w:rPr>
          <w:rFonts w:hint="eastAsia" w:ascii="宋体" w:hAnsi="宋体" w:eastAsia="宋体" w:cs="宋体"/>
          <w:sz w:val="28"/>
          <w:szCs w:val="28"/>
        </w:rPr>
        <w:t>等。专业课程体系：包括专业基础项目课程模块、岗位定向项目课程与拓展课程模块</w:t>
      </w:r>
      <w:r>
        <w:rPr>
          <w:rFonts w:hint="eastAsia" w:ascii="宋体" w:hAnsi="宋体" w:eastAsia="宋体" w:cs="宋体"/>
          <w:sz w:val="28"/>
          <w:szCs w:val="28"/>
          <w:lang w:val="en-US" w:eastAsia="zh-CN"/>
        </w:rPr>
        <w:t>以及</w:t>
      </w:r>
      <w:r>
        <w:rPr>
          <w:rFonts w:hint="eastAsia" w:ascii="宋体" w:hAnsi="宋体" w:eastAsia="宋体" w:cs="宋体"/>
          <w:sz w:val="28"/>
          <w:szCs w:val="28"/>
        </w:rPr>
        <w:t>校本项目课程模块三方面的课程内容。</w:t>
      </w:r>
    </w:p>
    <w:p>
      <w:pPr>
        <w:widowControl/>
        <w:shd w:val="clear" w:color="auto" w:fill="FFFFFF"/>
        <w:ind w:firstLine="601"/>
        <w:jc w:val="left"/>
        <w:rPr>
          <w:rFonts w:ascii="宋体" w:hAnsi="宋体" w:eastAsia="宋体" w:cs="Times New Roman"/>
          <w:kern w:val="0"/>
          <w:sz w:val="28"/>
          <w:szCs w:val="28"/>
          <w:shd w:val="clear" w:color="auto" w:fill="FFFFFF"/>
        </w:rPr>
      </w:pPr>
      <w:r>
        <w:rPr>
          <w:rFonts w:ascii="宋体" w:hAnsi="宋体" w:eastAsia="宋体" w:cs="宋体"/>
          <w:kern w:val="0"/>
          <w:sz w:val="28"/>
          <w:szCs w:val="28"/>
          <w:shd w:val="clear" w:color="auto" w:fill="FFFFFF"/>
        </w:rPr>
        <w:t>3.2.5</w:t>
      </w:r>
      <w:r>
        <w:rPr>
          <w:rFonts w:hint="eastAsia" w:ascii="宋体" w:hAnsi="宋体" w:eastAsia="宋体" w:cs="宋体"/>
          <w:kern w:val="0"/>
          <w:sz w:val="28"/>
          <w:szCs w:val="28"/>
          <w:shd w:val="clear" w:color="auto" w:fill="FFFFFF"/>
        </w:rPr>
        <w:t>人才培养模式改革</w:t>
      </w:r>
    </w:p>
    <w:p>
      <w:pPr>
        <w:widowControl/>
        <w:shd w:val="clear" w:color="auto" w:fill="FFFFFF"/>
        <w:ind w:firstLine="601"/>
        <w:jc w:val="left"/>
        <w:rPr>
          <w:rFonts w:ascii="宋体" w:hAnsi="宋体" w:eastAsia="宋体" w:cs="Times New Roman"/>
          <w:sz w:val="28"/>
          <w:szCs w:val="28"/>
        </w:rPr>
      </w:pPr>
      <w:r>
        <w:rPr>
          <w:rFonts w:hint="eastAsia" w:ascii="宋体" w:hAnsi="宋体" w:eastAsia="宋体" w:cs="宋体"/>
          <w:sz w:val="28"/>
          <w:szCs w:val="28"/>
        </w:rPr>
        <w:t>学校谋求专业发展，实现与市场接轨，提高育人质量，培养具有工匠精神的技术技能人才。成立由校内教师及校外企业、行业专家组成的专业建设指导委员会，定期召开会议，听取对专业人才培养及教学质量评价的意见和建议，对专业人才培养目标，课程设置以及实训标准提供指导。及时了解相关专业、行业的新知识、新技术，发挥行业专家在专业课程建设、技能实训等方面的重要作用。建立校企合作机制，通过校企融合，在企业建立实训基地，将市场行业新技术、新工艺引入到教学中，做到课堂与岗位、学校与社会的零距离对接。开展订单式、</w:t>
      </w:r>
      <w:r>
        <w:rPr>
          <w:rFonts w:ascii="宋体" w:hAnsi="宋体" w:eastAsia="宋体" w:cs="宋体"/>
          <w:sz w:val="28"/>
          <w:szCs w:val="28"/>
        </w:rPr>
        <w:t>2+1</w:t>
      </w:r>
      <w:r>
        <w:rPr>
          <w:rFonts w:hint="eastAsia" w:ascii="宋体" w:hAnsi="宋体" w:eastAsia="宋体" w:cs="宋体"/>
          <w:sz w:val="28"/>
          <w:szCs w:val="28"/>
        </w:rPr>
        <w:t>培养模式，依托学校已有的职业技能鉴定站，把各工种职业标准纳入各专业的教学计划，开发具有职业教育特点的人才培养模式。</w:t>
      </w:r>
    </w:p>
    <w:p>
      <w:pPr>
        <w:widowControl/>
        <w:shd w:val="clear" w:color="auto" w:fill="FFFFFF"/>
        <w:ind w:firstLine="560" w:firstLineChars="200"/>
        <w:jc w:val="left"/>
        <w:rPr>
          <w:rFonts w:ascii="宋体" w:hAnsi="宋体" w:eastAsia="宋体" w:cs="Times New Roman"/>
          <w:kern w:val="0"/>
          <w:sz w:val="28"/>
          <w:szCs w:val="28"/>
          <w:shd w:val="clear" w:color="auto" w:fill="FFFFFF"/>
        </w:rPr>
      </w:pPr>
      <w:r>
        <w:rPr>
          <w:rFonts w:ascii="宋体" w:hAnsi="宋体" w:eastAsia="宋体" w:cs="宋体"/>
          <w:kern w:val="0"/>
          <w:sz w:val="28"/>
          <w:szCs w:val="28"/>
          <w:shd w:val="clear" w:color="auto" w:fill="FFFFFF"/>
        </w:rPr>
        <w:t>3.2.6</w:t>
      </w:r>
      <w:r>
        <w:rPr>
          <w:rFonts w:hint="eastAsia" w:ascii="宋体" w:hAnsi="宋体" w:eastAsia="宋体" w:cs="宋体"/>
          <w:kern w:val="0"/>
          <w:sz w:val="28"/>
          <w:szCs w:val="28"/>
          <w:shd w:val="clear" w:color="auto" w:fill="FFFFFF"/>
        </w:rPr>
        <w:t>信息化教学情况</w:t>
      </w:r>
    </w:p>
    <w:p>
      <w:pPr>
        <w:ind w:firstLine="560" w:firstLineChars="200"/>
        <w:rPr>
          <w:rFonts w:hint="eastAsia" w:ascii="宋体" w:hAnsi="宋体" w:eastAsia="宋体" w:cs="宋体"/>
          <w:sz w:val="28"/>
          <w:szCs w:val="28"/>
        </w:rPr>
      </w:pPr>
      <w:r>
        <w:rPr>
          <w:rFonts w:hint="eastAsia" w:ascii="宋体" w:hAnsi="宋体" w:eastAsia="宋体" w:cs="宋体"/>
          <w:sz w:val="28"/>
          <w:szCs w:val="28"/>
        </w:rPr>
        <w:t>学校培养教师信息技术水平和课堂教学实效,促进信息技术与课程整合深入开展,切实提高课堂教学等方面的信息化应用水平。</w:t>
      </w:r>
    </w:p>
    <w:p>
      <w:pPr>
        <w:ind w:firstLine="560" w:firstLineChars="200"/>
        <w:rPr>
          <w:rFonts w:ascii="宋体" w:hAnsi="宋体" w:eastAsia="宋体" w:cs="Times New Roman"/>
          <w:sz w:val="28"/>
          <w:szCs w:val="28"/>
        </w:rPr>
      </w:pPr>
      <w:r>
        <w:rPr>
          <w:rFonts w:hint="eastAsia" w:ascii="宋体" w:hAnsi="宋体" w:eastAsia="宋体" w:cs="宋体"/>
          <w:sz w:val="28"/>
          <w:szCs w:val="28"/>
        </w:rPr>
        <w:t>学校各教室、</w:t>
      </w:r>
      <w:r>
        <w:rPr>
          <w:rFonts w:hint="eastAsia" w:ascii="宋体" w:hAnsi="宋体" w:eastAsia="宋体" w:cs="宋体"/>
          <w:sz w:val="28"/>
          <w:szCs w:val="28"/>
          <w:lang w:val="en-US" w:eastAsia="zh-CN"/>
        </w:rPr>
        <w:t>实训室</w:t>
      </w:r>
      <w:r>
        <w:rPr>
          <w:rFonts w:hint="eastAsia" w:ascii="宋体" w:hAnsi="宋体" w:eastAsia="宋体" w:cs="宋体"/>
          <w:sz w:val="28"/>
          <w:szCs w:val="28"/>
        </w:rPr>
        <w:t>和功能用房均安装了</w:t>
      </w:r>
      <w:r>
        <w:rPr>
          <w:rFonts w:hint="eastAsia" w:ascii="宋体" w:hAnsi="宋体" w:eastAsia="宋体" w:cs="宋体"/>
          <w:sz w:val="28"/>
          <w:szCs w:val="28"/>
          <w:lang w:val="en-US" w:eastAsia="zh-CN"/>
        </w:rPr>
        <w:t>多媒体交互式设备</w:t>
      </w:r>
      <w:r>
        <w:rPr>
          <w:rFonts w:hint="eastAsia" w:ascii="宋体" w:hAnsi="宋体" w:eastAsia="宋体" w:cs="宋体"/>
          <w:sz w:val="28"/>
          <w:szCs w:val="28"/>
        </w:rPr>
        <w:t>,教师一人1台办公用电脑,办公、学习实现网络化,大大提高了教师们的办公效率和教学水平</w:t>
      </w:r>
      <w:r>
        <w:rPr>
          <w:rFonts w:hint="eastAsia" w:ascii="宋体" w:hAnsi="宋体" w:eastAsia="宋体" w:cs="宋体"/>
          <w:sz w:val="28"/>
          <w:szCs w:val="28"/>
          <w:lang w:eastAsia="zh-CN"/>
        </w:rPr>
        <w:t>，</w:t>
      </w:r>
      <w:r>
        <w:rPr>
          <w:rFonts w:hint="eastAsia" w:ascii="宋体" w:hAnsi="宋体" w:eastAsia="宋体" w:cs="宋体"/>
          <w:sz w:val="28"/>
          <w:szCs w:val="28"/>
        </w:rPr>
        <w:t>极大提高了学校信息化教学整体水平。</w:t>
      </w: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年学校组织了</w:t>
      </w:r>
      <w:r>
        <w:rPr>
          <w:rFonts w:hint="eastAsia" w:ascii="宋体" w:hAnsi="宋体" w:eastAsia="宋体" w:cs="宋体"/>
          <w:sz w:val="28"/>
          <w:szCs w:val="28"/>
          <w:lang w:val="en-US" w:eastAsia="zh-CN"/>
        </w:rPr>
        <w:t>2</w:t>
      </w:r>
      <w:r>
        <w:rPr>
          <w:rFonts w:hint="eastAsia" w:ascii="宋体" w:hAnsi="宋体" w:eastAsia="宋体" w:cs="宋体"/>
          <w:sz w:val="28"/>
          <w:szCs w:val="28"/>
        </w:rPr>
        <w:t>次信息化技术培训，教师能积极参加</w:t>
      </w:r>
      <w:r>
        <w:rPr>
          <w:rFonts w:hint="eastAsia" w:ascii="宋体" w:hAnsi="宋体" w:eastAsia="宋体" w:cs="宋体"/>
          <w:sz w:val="28"/>
          <w:szCs w:val="28"/>
          <w:lang w:val="en-US" w:eastAsia="zh-CN"/>
        </w:rPr>
        <w:t>相关教学职业能力</w:t>
      </w:r>
      <w:r>
        <w:rPr>
          <w:rFonts w:hint="eastAsia" w:ascii="宋体" w:hAnsi="宋体" w:eastAsia="宋体" w:cs="宋体"/>
          <w:sz w:val="28"/>
          <w:szCs w:val="28"/>
        </w:rPr>
        <w:t>比赛，进一步提升了全体教师的信息化教学水平。</w:t>
      </w:r>
    </w:p>
    <w:p>
      <w:pPr>
        <w:widowControl/>
        <w:shd w:val="clear" w:color="auto" w:fill="FFFFFF"/>
        <w:ind w:firstLine="601"/>
        <w:jc w:val="left"/>
        <w:rPr>
          <w:rFonts w:ascii="宋体" w:hAnsi="宋体" w:eastAsia="宋体" w:cs="Times New Roman"/>
          <w:kern w:val="0"/>
          <w:sz w:val="28"/>
          <w:szCs w:val="28"/>
          <w:shd w:val="clear" w:color="auto" w:fill="FFFFFF"/>
        </w:rPr>
      </w:pPr>
      <w:r>
        <w:rPr>
          <w:rFonts w:ascii="宋体" w:hAnsi="宋体" w:eastAsia="宋体" w:cs="宋体"/>
          <w:kern w:val="0"/>
          <w:sz w:val="28"/>
          <w:szCs w:val="28"/>
          <w:shd w:val="clear" w:color="auto" w:fill="FFFFFF"/>
        </w:rPr>
        <w:t>3.2.7</w:t>
      </w:r>
      <w:r>
        <w:rPr>
          <w:rFonts w:hint="eastAsia" w:ascii="宋体" w:hAnsi="宋体" w:eastAsia="宋体" w:cs="宋体"/>
          <w:kern w:val="0"/>
          <w:sz w:val="28"/>
          <w:szCs w:val="28"/>
          <w:shd w:val="clear" w:color="auto" w:fill="FFFFFF"/>
        </w:rPr>
        <w:t>加强实训基地建设</w:t>
      </w:r>
    </w:p>
    <w:p>
      <w:pPr>
        <w:widowControl/>
        <w:shd w:val="clear" w:color="auto" w:fill="FFFFFF"/>
        <w:ind w:firstLine="601"/>
        <w:jc w:val="left"/>
        <w:rPr>
          <w:rFonts w:ascii="宋体" w:hAnsi="宋体" w:eastAsia="宋体" w:cs="Times New Roman"/>
          <w:sz w:val="28"/>
          <w:szCs w:val="28"/>
        </w:rPr>
      </w:pPr>
      <w:r>
        <w:rPr>
          <w:rFonts w:hint="eastAsia" w:ascii="宋体" w:hAnsi="宋体" w:eastAsia="宋体" w:cs="宋体"/>
          <w:sz w:val="28"/>
          <w:szCs w:val="28"/>
        </w:rPr>
        <w:t>学校不断改善办学条件，购置实习实训设备，并与多家生产单位签订共建实习基地协议，目前已构建成比较完善的校内外实训基地。校内现有珠宝加工实验室、</w:t>
      </w:r>
      <w:r>
        <w:rPr>
          <w:rFonts w:hint="eastAsia" w:ascii="宋体" w:hAnsi="宋体" w:eastAsia="宋体" w:cs="宋体"/>
          <w:sz w:val="28"/>
          <w:szCs w:val="28"/>
          <w:lang w:val="en-US" w:eastAsia="zh-CN"/>
        </w:rPr>
        <w:t>珠宝玉石鉴定中心，</w:t>
      </w:r>
      <w:r>
        <w:rPr>
          <w:rFonts w:hint="eastAsia" w:ascii="宋体" w:hAnsi="宋体" w:eastAsia="宋体" w:cs="宋体"/>
          <w:sz w:val="28"/>
          <w:szCs w:val="28"/>
        </w:rPr>
        <w:t>工程测</w:t>
      </w:r>
      <w:r>
        <w:rPr>
          <w:rFonts w:hint="eastAsia" w:ascii="宋体" w:hAnsi="宋体" w:eastAsia="宋体" w:cs="宋体"/>
          <w:sz w:val="28"/>
          <w:szCs w:val="28"/>
          <w:lang w:val="en-US" w:eastAsia="zh-CN"/>
        </w:rPr>
        <w:t>量</w:t>
      </w:r>
      <w:r>
        <w:rPr>
          <w:rFonts w:hint="eastAsia" w:ascii="宋体" w:hAnsi="宋体" w:eastAsia="宋体" w:cs="宋体"/>
          <w:sz w:val="28"/>
          <w:szCs w:val="28"/>
        </w:rPr>
        <w:t>实训中心、岩矿鉴定实验室、无人机与遥感一体化实训室、陈列标本展室、汽车整车实习车间等、汽车修理一体化实训室</w:t>
      </w:r>
      <w:r>
        <w:rPr>
          <w:rFonts w:hint="eastAsia" w:ascii="宋体" w:hAnsi="宋体" w:eastAsia="宋体" w:cs="宋体"/>
          <w:sz w:val="28"/>
          <w:szCs w:val="28"/>
          <w:lang w:val="en-US" w:eastAsia="zh-CN"/>
        </w:rPr>
        <w:t>等</w:t>
      </w:r>
      <w:r>
        <w:rPr>
          <w:rFonts w:hint="eastAsia" w:ascii="宋体" w:hAnsi="宋体" w:eastAsia="宋体" w:cs="宋体"/>
          <w:sz w:val="28"/>
          <w:szCs w:val="28"/>
        </w:rPr>
        <w:t>，</w:t>
      </w:r>
      <w:r>
        <w:rPr>
          <w:rFonts w:hint="eastAsia" w:ascii="宋体" w:hAnsi="宋体" w:eastAsia="宋体" w:cs="宋体"/>
          <w:sz w:val="28"/>
          <w:szCs w:val="28"/>
          <w:lang w:val="en-US" w:eastAsia="zh-CN"/>
        </w:rPr>
        <w:t>更新了</w:t>
      </w:r>
      <w:r>
        <w:rPr>
          <w:rFonts w:hint="eastAsia" w:ascii="宋体" w:hAnsi="宋体" w:eastAsia="宋体" w:cs="宋体"/>
          <w:sz w:val="28"/>
          <w:szCs w:val="28"/>
        </w:rPr>
        <w:t>无人机</w:t>
      </w:r>
      <w:r>
        <w:rPr>
          <w:rFonts w:hint="eastAsia" w:ascii="宋体" w:hAnsi="宋体" w:eastAsia="宋体" w:cs="宋体"/>
          <w:sz w:val="28"/>
          <w:szCs w:val="28"/>
          <w:lang w:val="en-US" w:eastAsia="zh-CN"/>
        </w:rPr>
        <w:t>航测数据处理中心和</w:t>
      </w:r>
      <w:r>
        <w:rPr>
          <w:rFonts w:hint="eastAsia" w:ascii="宋体" w:hAnsi="宋体" w:eastAsia="宋体" w:cs="宋体"/>
          <w:sz w:val="28"/>
          <w:szCs w:val="28"/>
        </w:rPr>
        <w:t>珠宝鉴定实验室设备，校内实训设备基本满足实训教学需求。校外实习基地可以完成实训教学、学生顶岗实习</w:t>
      </w:r>
      <w:r>
        <w:rPr>
          <w:rFonts w:hint="eastAsia" w:ascii="宋体" w:hAnsi="宋体" w:eastAsia="宋体" w:cs="宋体"/>
          <w:sz w:val="28"/>
          <w:szCs w:val="28"/>
          <w:lang w:eastAsia="zh-CN"/>
        </w:rPr>
        <w:t>、</w:t>
      </w:r>
      <w:r>
        <w:rPr>
          <w:rFonts w:hint="eastAsia" w:ascii="宋体" w:hAnsi="宋体" w:eastAsia="宋体" w:cs="宋体"/>
          <w:sz w:val="28"/>
          <w:szCs w:val="28"/>
        </w:rPr>
        <w:t>职业技能训练与鉴定等教学实习任务。</w:t>
      </w:r>
    </w:p>
    <w:p>
      <w:pPr>
        <w:widowControl/>
        <w:shd w:val="clear" w:color="auto" w:fill="FFFFFF"/>
        <w:jc w:val="center"/>
        <w:rPr>
          <w:rFonts w:hint="eastAsia" w:ascii="宋体" w:hAnsi="宋体" w:eastAsia="宋体" w:cs="Times New Roman"/>
          <w:sz w:val="28"/>
          <w:szCs w:val="28"/>
          <w:lang w:eastAsia="zh-CN"/>
        </w:rPr>
      </w:pPr>
      <w:r>
        <w:rPr>
          <w:rFonts w:hint="eastAsia" w:ascii="宋体" w:hAnsi="宋体" w:eastAsia="宋体" w:cs="Times New Roman"/>
          <w:sz w:val="28"/>
          <w:szCs w:val="28"/>
          <w:lang w:eastAsia="zh-CN"/>
        </w:rPr>
        <w:drawing>
          <wp:inline distT="0" distB="0" distL="114300" distR="114300">
            <wp:extent cx="5274945" cy="2866390"/>
            <wp:effectExtent l="0" t="0" r="13335" b="13970"/>
            <wp:docPr id="30" name="图片 30" descr="微信图片_2021012519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10125192010"/>
                    <pic:cNvPicPr>
                      <a:picLocks noChangeAspect="1"/>
                    </pic:cNvPicPr>
                  </pic:nvPicPr>
                  <pic:blipFill>
                    <a:blip r:embed="rId11"/>
                    <a:stretch>
                      <a:fillRect/>
                    </a:stretch>
                  </pic:blipFill>
                  <pic:spPr>
                    <a:xfrm>
                      <a:off x="0" y="0"/>
                      <a:ext cx="5274945" cy="2866390"/>
                    </a:xfrm>
                    <a:prstGeom prst="rect">
                      <a:avLst/>
                    </a:prstGeom>
                  </pic:spPr>
                </pic:pic>
              </a:graphicData>
            </a:graphic>
          </wp:inline>
        </w:drawing>
      </w:r>
    </w:p>
    <w:p>
      <w:pPr>
        <w:widowControl/>
        <w:shd w:val="clear" w:color="auto" w:fill="FFFFFF"/>
        <w:jc w:val="center"/>
        <w:rPr>
          <w:rFonts w:hint="default" w:ascii="宋体" w:hAnsi="宋体" w:eastAsia="宋体" w:cs="Times New Roman"/>
          <w:b/>
          <w:bCs/>
          <w:sz w:val="28"/>
          <w:szCs w:val="28"/>
          <w:lang w:val="en-US" w:eastAsia="zh-CN"/>
        </w:rPr>
      </w:pPr>
      <w:r>
        <w:rPr>
          <w:rFonts w:hint="eastAsia" w:ascii="宋体" w:hAnsi="宋体" w:eastAsia="宋体" w:cs="宋体"/>
          <w:b/>
          <w:bCs/>
          <w:sz w:val="28"/>
          <w:szCs w:val="28"/>
        </w:rPr>
        <w:t>无人机</w:t>
      </w:r>
      <w:r>
        <w:rPr>
          <w:rFonts w:hint="eastAsia" w:ascii="宋体" w:hAnsi="宋体" w:eastAsia="宋体" w:cs="宋体"/>
          <w:b/>
          <w:bCs/>
          <w:sz w:val="28"/>
          <w:szCs w:val="28"/>
          <w:lang w:val="en-US" w:eastAsia="zh-CN"/>
        </w:rPr>
        <w:t>航测数据处理中心</w:t>
      </w:r>
    </w:p>
    <w:p>
      <w:pPr>
        <w:widowControl/>
        <w:shd w:val="clear" w:color="auto" w:fill="FFFFFF"/>
        <w:jc w:val="center"/>
        <w:rPr>
          <w:rFonts w:hint="eastAsia" w:ascii="宋体" w:hAnsi="宋体" w:eastAsia="宋体" w:cs="Times New Roman"/>
          <w:b/>
          <w:bCs/>
          <w:sz w:val="28"/>
          <w:szCs w:val="28"/>
          <w:lang w:eastAsia="zh-CN"/>
        </w:rPr>
      </w:pPr>
      <w:r>
        <w:rPr>
          <w:rFonts w:hint="eastAsia" w:ascii="宋体" w:hAnsi="宋体" w:eastAsia="宋体" w:cs="Times New Roman"/>
          <w:b/>
          <w:bCs/>
          <w:sz w:val="28"/>
          <w:szCs w:val="28"/>
          <w:lang w:eastAsia="zh-CN"/>
        </w:rPr>
        <w:drawing>
          <wp:inline distT="0" distB="0" distL="114300" distR="114300">
            <wp:extent cx="5274945" cy="2670810"/>
            <wp:effectExtent l="0" t="0" r="13335" b="11430"/>
            <wp:docPr id="31" name="图片 31" descr="微信图片_202101251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10125192020"/>
                    <pic:cNvPicPr>
                      <a:picLocks noChangeAspect="1"/>
                    </pic:cNvPicPr>
                  </pic:nvPicPr>
                  <pic:blipFill>
                    <a:blip r:embed="rId12"/>
                    <a:stretch>
                      <a:fillRect/>
                    </a:stretch>
                  </pic:blipFill>
                  <pic:spPr>
                    <a:xfrm>
                      <a:off x="0" y="0"/>
                      <a:ext cx="5274945" cy="2670810"/>
                    </a:xfrm>
                    <a:prstGeom prst="rect">
                      <a:avLst/>
                    </a:prstGeom>
                  </pic:spPr>
                </pic:pic>
              </a:graphicData>
            </a:graphic>
          </wp:inline>
        </w:drawing>
      </w:r>
    </w:p>
    <w:p>
      <w:pPr>
        <w:widowControl/>
        <w:shd w:val="clear" w:color="auto" w:fill="FFFFFF"/>
        <w:jc w:val="center"/>
        <w:rPr>
          <w:rFonts w:hint="default" w:ascii="宋体" w:hAnsi="宋体" w:eastAsia="宋体" w:cs="Times New Roman"/>
          <w:b/>
          <w:bCs/>
          <w:sz w:val="28"/>
          <w:szCs w:val="28"/>
          <w:lang w:val="en-US" w:eastAsia="zh-CN"/>
        </w:rPr>
      </w:pPr>
      <w:r>
        <w:rPr>
          <w:rFonts w:hint="eastAsia" w:ascii="宋体" w:hAnsi="宋体" w:eastAsia="宋体" w:cs="Times New Roman"/>
          <w:b/>
          <w:bCs/>
          <w:sz w:val="28"/>
          <w:szCs w:val="28"/>
          <w:lang w:val="en-US" w:eastAsia="zh-CN"/>
        </w:rPr>
        <w:t>珠宝鉴定中心</w:t>
      </w:r>
    </w:p>
    <w:p>
      <w:pPr>
        <w:widowControl/>
        <w:shd w:val="clear" w:color="auto" w:fill="FFFFFF"/>
        <w:jc w:val="center"/>
        <w:rPr>
          <w:rFonts w:hint="eastAsia" w:ascii="宋体" w:hAnsi="宋体" w:eastAsia="宋体" w:cs="Times New Roman"/>
          <w:b/>
          <w:bCs/>
          <w:sz w:val="28"/>
          <w:szCs w:val="28"/>
          <w:lang w:eastAsia="zh-CN"/>
        </w:rPr>
      </w:pPr>
      <w:r>
        <w:rPr>
          <w:rFonts w:hint="eastAsia" w:ascii="宋体" w:hAnsi="宋体" w:eastAsia="宋体" w:cs="Times New Roman"/>
          <w:b/>
          <w:bCs/>
          <w:sz w:val="28"/>
          <w:szCs w:val="28"/>
          <w:lang w:eastAsia="zh-CN"/>
        </w:rPr>
        <w:drawing>
          <wp:inline distT="0" distB="0" distL="114300" distR="114300">
            <wp:extent cx="5257165" cy="2816225"/>
            <wp:effectExtent l="0" t="0" r="635" b="3175"/>
            <wp:docPr id="32" name="图片 32" descr="汽车电器实验室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汽车电器实验室3"/>
                    <pic:cNvPicPr>
                      <a:picLocks noChangeAspect="1"/>
                    </pic:cNvPicPr>
                  </pic:nvPicPr>
                  <pic:blipFill>
                    <a:blip r:embed="rId13"/>
                    <a:stretch>
                      <a:fillRect/>
                    </a:stretch>
                  </pic:blipFill>
                  <pic:spPr>
                    <a:xfrm>
                      <a:off x="0" y="0"/>
                      <a:ext cx="5257165" cy="2816225"/>
                    </a:xfrm>
                    <a:prstGeom prst="rect">
                      <a:avLst/>
                    </a:prstGeom>
                  </pic:spPr>
                </pic:pic>
              </a:graphicData>
            </a:graphic>
          </wp:inline>
        </w:drawing>
      </w:r>
    </w:p>
    <w:p>
      <w:pPr>
        <w:widowControl/>
        <w:shd w:val="clear" w:color="auto" w:fill="FFFFFF"/>
        <w:jc w:val="center"/>
        <w:rPr>
          <w:rFonts w:ascii="宋体" w:hAnsi="宋体" w:eastAsia="宋体" w:cs="Times New Roman"/>
          <w:b/>
          <w:bCs/>
          <w:sz w:val="28"/>
          <w:szCs w:val="28"/>
        </w:rPr>
      </w:pPr>
      <w:r>
        <w:rPr>
          <w:rFonts w:hint="eastAsia" w:ascii="宋体" w:hAnsi="宋体" w:eastAsia="宋体" w:cs="宋体"/>
          <w:b/>
          <w:bCs/>
          <w:sz w:val="28"/>
          <w:szCs w:val="28"/>
        </w:rPr>
        <w:t>汽修</w:t>
      </w:r>
      <w:r>
        <w:rPr>
          <w:rFonts w:hint="eastAsia" w:ascii="宋体" w:hAnsi="宋体" w:eastAsia="宋体" w:cs="宋体"/>
          <w:b/>
          <w:bCs/>
          <w:sz w:val="28"/>
          <w:szCs w:val="28"/>
          <w:lang w:val="en-US" w:eastAsia="zh-CN"/>
        </w:rPr>
        <w:t>电器</w:t>
      </w:r>
      <w:r>
        <w:rPr>
          <w:rFonts w:hint="eastAsia" w:ascii="宋体" w:hAnsi="宋体" w:eastAsia="宋体" w:cs="宋体"/>
          <w:b/>
          <w:bCs/>
          <w:sz w:val="28"/>
          <w:szCs w:val="28"/>
        </w:rPr>
        <w:t>实验室</w:t>
      </w:r>
    </w:p>
    <w:p>
      <w:pPr>
        <w:ind w:firstLine="560" w:firstLineChars="200"/>
        <w:rPr>
          <w:rFonts w:ascii="宋体" w:hAnsi="宋体" w:eastAsia="宋体" w:cs="Times New Roman"/>
          <w:sz w:val="28"/>
          <w:szCs w:val="28"/>
        </w:rPr>
      </w:pPr>
      <w:r>
        <w:rPr>
          <w:rFonts w:ascii="宋体" w:hAnsi="宋体" w:eastAsia="宋体" w:cs="宋体"/>
          <w:kern w:val="0"/>
          <w:sz w:val="28"/>
          <w:szCs w:val="28"/>
          <w:shd w:val="clear" w:color="auto" w:fill="FFFFFF"/>
        </w:rPr>
        <w:t>3.2.8</w:t>
      </w:r>
      <w:r>
        <w:rPr>
          <w:rFonts w:hint="eastAsia" w:ascii="宋体" w:hAnsi="宋体" w:eastAsia="宋体" w:cs="宋体"/>
          <w:sz w:val="28"/>
          <w:szCs w:val="28"/>
        </w:rPr>
        <w:t>教学资源建设</w:t>
      </w:r>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学校非常重视数字化校园的建设，以资源共建共享为目的，以创建精品资源和进行网络教学为核心，2020年线上教学期间，按照学校线上教学实施方案，开设网上课程34门，电子教案252份，PPT课件234份，通过线上教学积累了专业教学资源库建设，为公共基础课和专业课提供高效的存储管理和优秀教学资源，为全校教师提供方便快捷的存取功能，从而提高教学资源的利用率，促进教学资源更好地为教育教学服务。</w:t>
      </w:r>
    </w:p>
    <w:p>
      <w:pPr>
        <w:ind w:firstLine="560" w:firstLineChars="200"/>
        <w:rPr>
          <w:rFonts w:ascii="宋体" w:hAnsi="宋体" w:eastAsia="宋体" w:cs="Times New Roman"/>
          <w:sz w:val="28"/>
          <w:szCs w:val="28"/>
        </w:rPr>
      </w:pPr>
      <w:r>
        <w:rPr>
          <w:rFonts w:ascii="宋体" w:hAnsi="宋体" w:eastAsia="宋体" w:cs="宋体"/>
          <w:kern w:val="0"/>
          <w:sz w:val="28"/>
          <w:szCs w:val="28"/>
          <w:shd w:val="clear" w:color="auto" w:fill="FFFFFF"/>
        </w:rPr>
        <w:t>3.2.9</w:t>
      </w:r>
      <w:r>
        <w:rPr>
          <w:rFonts w:hint="eastAsia" w:ascii="宋体" w:hAnsi="宋体" w:eastAsia="宋体" w:cs="宋体"/>
          <w:sz w:val="28"/>
          <w:szCs w:val="28"/>
        </w:rPr>
        <w:t>教材选用</w:t>
      </w:r>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教材选用严格按上级要求选用。学校制定了完善的教材管理制度，所有教材的准备工作在开课前完成。学校严格按照教育部要求开设课程，以中等职业学校规划教学用书目录为依据，大部分选用高等教育出版社、人民教育出版社出版的教材，个别选修科目采用地方特色教材或学校自行编写的校本教材，使用国家和省级教育行政部门"两级规划、两级审定"的教材。</w:t>
      </w:r>
    </w:p>
    <w:p>
      <w:pPr>
        <w:ind w:firstLine="560" w:firstLineChars="200"/>
        <w:rPr>
          <w:rFonts w:ascii="宋体" w:hAnsi="宋体" w:eastAsia="宋体" w:cs="Times New Roman"/>
          <w:sz w:val="28"/>
          <w:szCs w:val="28"/>
        </w:rPr>
      </w:pPr>
      <w:r>
        <w:rPr>
          <w:rFonts w:ascii="宋体" w:hAnsi="宋体" w:eastAsia="宋体" w:cs="宋体"/>
          <w:kern w:val="0"/>
          <w:sz w:val="28"/>
          <w:szCs w:val="28"/>
          <w:shd w:val="clear" w:color="auto" w:fill="FFFFFF"/>
        </w:rPr>
        <w:t>3.2.10</w:t>
      </w:r>
      <w:r>
        <w:rPr>
          <w:rFonts w:hint="eastAsia" w:ascii="宋体" w:hAnsi="宋体" w:eastAsia="宋体" w:cs="宋体"/>
          <w:sz w:val="28"/>
          <w:szCs w:val="28"/>
        </w:rPr>
        <w:t>国际合作</w:t>
      </w:r>
    </w:p>
    <w:p>
      <w:pPr>
        <w:ind w:firstLine="560" w:firstLineChars="200"/>
        <w:rPr>
          <w:rFonts w:cs="Times New Roman"/>
        </w:rPr>
      </w:pPr>
      <w:r>
        <w:rPr>
          <w:rFonts w:hint="eastAsia" w:ascii="宋体" w:hAnsi="宋体" w:eastAsia="宋体" w:cs="宋体"/>
          <w:sz w:val="28"/>
          <w:szCs w:val="28"/>
        </w:rPr>
        <w:t>学校现未开展国际合作。</w:t>
      </w:r>
    </w:p>
    <w:p>
      <w:pPr>
        <w:pStyle w:val="3"/>
        <w:spacing w:before="0" w:after="0" w:line="240" w:lineRule="auto"/>
        <w:ind w:firstLine="560" w:firstLineChars="200"/>
        <w:rPr>
          <w:rFonts w:ascii="宋体" w:hAnsi="宋体" w:eastAsia="宋体" w:cs="Times New Roman"/>
          <w:b w:val="0"/>
          <w:bCs w:val="0"/>
          <w:sz w:val="28"/>
          <w:szCs w:val="28"/>
        </w:rPr>
      </w:pPr>
      <w:bookmarkStart w:id="23" w:name="_Toc34123282"/>
      <w:r>
        <w:rPr>
          <w:rFonts w:ascii="宋体" w:hAnsi="宋体" w:eastAsia="宋体" w:cs="宋体"/>
          <w:b w:val="0"/>
          <w:bCs w:val="0"/>
          <w:sz w:val="28"/>
          <w:szCs w:val="28"/>
        </w:rPr>
        <w:t>3.3</w:t>
      </w:r>
      <w:r>
        <w:rPr>
          <w:rFonts w:hint="eastAsia" w:ascii="宋体" w:hAnsi="宋体" w:eastAsia="宋体" w:cs="宋体"/>
          <w:b w:val="0"/>
          <w:bCs w:val="0"/>
          <w:sz w:val="28"/>
          <w:szCs w:val="28"/>
        </w:rPr>
        <w:t>教师培养培训</w:t>
      </w:r>
      <w:bookmarkEnd w:id="23"/>
    </w:p>
    <w:p>
      <w:pPr>
        <w:ind w:firstLine="560" w:firstLineChars="200"/>
        <w:rPr>
          <w:rFonts w:hint="eastAsia" w:ascii="宋体" w:hAnsi="宋体" w:eastAsia="宋体" w:cs="宋体"/>
          <w:sz w:val="28"/>
          <w:szCs w:val="28"/>
        </w:rPr>
      </w:pPr>
      <w:r>
        <w:rPr>
          <w:rFonts w:hint="eastAsia" w:ascii="宋体" w:hAnsi="宋体" w:eastAsia="宋体" w:cs="宋体"/>
          <w:sz w:val="28"/>
          <w:szCs w:val="28"/>
        </w:rPr>
        <w:t>学校积极采取各项措施，建立教师培训和考核机制。健全和完善教师继续教育制度，鼓励教师参加本专业或相近专业的技术职务、职业资格等考试，将教师送到企业进行实践训练，并参加行业企业等培训。聘请行业专家、技术人员担任专业课或实习实训指导教师，不断提升教师队伍的学历层次和整体教学水平</w:t>
      </w:r>
      <w:r>
        <w:rPr>
          <w:rFonts w:hint="eastAsia" w:ascii="宋体" w:hAnsi="宋体" w:eastAsia="宋体" w:cs="宋体"/>
          <w:sz w:val="28"/>
          <w:szCs w:val="28"/>
          <w:lang w:eastAsia="zh-CN"/>
        </w:rPr>
        <w:t>。</w:t>
      </w:r>
      <w:r>
        <w:rPr>
          <w:rFonts w:hint="eastAsia" w:ascii="宋体" w:hAnsi="宋体" w:eastAsia="宋体" w:cs="宋体"/>
          <w:sz w:val="28"/>
          <w:szCs w:val="28"/>
        </w:rPr>
        <w:t>2020年度我校师资培训进展顺利,成效良好,教</w:t>
      </w:r>
      <w:r>
        <w:rPr>
          <w:rFonts w:hint="eastAsia" w:ascii="宋体" w:hAnsi="宋体" w:eastAsia="宋体" w:cs="宋体"/>
          <w:sz w:val="28"/>
          <w:szCs w:val="28"/>
          <w:lang w:val="en-US" w:eastAsia="zh-CN"/>
        </w:rPr>
        <w:t>师</w:t>
      </w:r>
      <w:r>
        <w:rPr>
          <w:rFonts w:hint="eastAsia" w:ascii="宋体" w:hAnsi="宋体" w:eastAsia="宋体" w:cs="宋体"/>
          <w:sz w:val="28"/>
          <w:szCs w:val="28"/>
        </w:rPr>
        <w:t>业务</w:t>
      </w:r>
      <w:r>
        <w:rPr>
          <w:rFonts w:hint="eastAsia" w:ascii="宋体" w:hAnsi="宋体" w:eastAsia="宋体" w:cs="宋体"/>
          <w:sz w:val="28"/>
          <w:szCs w:val="28"/>
          <w:lang w:val="en-US" w:eastAsia="zh-CN"/>
        </w:rPr>
        <w:t>能力</w:t>
      </w:r>
      <w:r>
        <w:rPr>
          <w:rFonts w:hint="eastAsia" w:ascii="宋体" w:hAnsi="宋体" w:eastAsia="宋体" w:cs="宋体"/>
          <w:sz w:val="28"/>
          <w:szCs w:val="28"/>
        </w:rPr>
        <w:t>得到进一步提升。其中参加</w:t>
      </w:r>
      <w:r>
        <w:rPr>
          <w:rFonts w:hint="eastAsia" w:ascii="宋体" w:hAnsi="宋体" w:eastAsia="宋体" w:cs="宋体"/>
          <w:sz w:val="28"/>
          <w:szCs w:val="28"/>
          <w:lang w:val="en-US" w:eastAsia="zh-CN"/>
        </w:rPr>
        <w:t>国家级培训15人天，</w:t>
      </w:r>
      <w:r>
        <w:rPr>
          <w:rFonts w:hint="eastAsia" w:ascii="宋体" w:hAnsi="宋体" w:eastAsia="宋体" w:cs="宋体"/>
          <w:sz w:val="28"/>
          <w:szCs w:val="28"/>
        </w:rPr>
        <w:t>省级培训</w:t>
      </w:r>
      <w:r>
        <w:rPr>
          <w:rFonts w:hint="eastAsia" w:ascii="宋体" w:hAnsi="宋体" w:eastAsia="宋体" w:cs="宋体"/>
          <w:sz w:val="28"/>
          <w:szCs w:val="28"/>
          <w:lang w:val="en-US" w:eastAsia="zh-CN"/>
        </w:rPr>
        <w:t>50</w:t>
      </w:r>
      <w:r>
        <w:rPr>
          <w:rFonts w:hint="eastAsia" w:ascii="宋体" w:hAnsi="宋体" w:eastAsia="宋体" w:cs="宋体"/>
          <w:sz w:val="28"/>
          <w:szCs w:val="28"/>
        </w:rPr>
        <w:t>人</w:t>
      </w:r>
      <w:r>
        <w:rPr>
          <w:rFonts w:hint="eastAsia" w:ascii="宋体" w:hAnsi="宋体" w:eastAsia="宋体" w:cs="宋体"/>
          <w:sz w:val="28"/>
          <w:szCs w:val="28"/>
          <w:lang w:val="en-US" w:eastAsia="zh-CN"/>
        </w:rPr>
        <w:t>天</w:t>
      </w:r>
      <w:r>
        <w:rPr>
          <w:rFonts w:hint="eastAsia" w:ascii="宋体" w:hAnsi="宋体" w:eastAsia="宋体" w:cs="宋体"/>
          <w:sz w:val="28"/>
          <w:szCs w:val="28"/>
        </w:rPr>
        <w:t>,校本培训1</w:t>
      </w:r>
      <w:r>
        <w:rPr>
          <w:rFonts w:hint="eastAsia" w:ascii="宋体" w:hAnsi="宋体" w:eastAsia="宋体" w:cs="宋体"/>
          <w:sz w:val="28"/>
          <w:szCs w:val="28"/>
          <w:lang w:val="en-US" w:eastAsia="zh-CN"/>
        </w:rPr>
        <w:t>38</w:t>
      </w:r>
      <w:r>
        <w:rPr>
          <w:rFonts w:hint="eastAsia" w:ascii="宋体" w:hAnsi="宋体" w:eastAsia="宋体" w:cs="宋体"/>
          <w:sz w:val="28"/>
          <w:szCs w:val="28"/>
        </w:rPr>
        <w:t>人</w:t>
      </w:r>
      <w:r>
        <w:rPr>
          <w:rFonts w:hint="eastAsia" w:ascii="宋体" w:hAnsi="宋体" w:eastAsia="宋体" w:cs="宋体"/>
          <w:sz w:val="28"/>
          <w:szCs w:val="28"/>
          <w:lang w:val="en-US" w:eastAsia="zh-CN"/>
        </w:rPr>
        <w:t>天</w:t>
      </w:r>
      <w:r>
        <w:rPr>
          <w:rFonts w:hint="eastAsia" w:ascii="宋体" w:hAnsi="宋体" w:eastAsia="宋体" w:cs="宋体"/>
          <w:sz w:val="28"/>
          <w:szCs w:val="28"/>
        </w:rPr>
        <w:t>。2020年我校开展</w:t>
      </w:r>
      <w:r>
        <w:rPr>
          <w:rFonts w:hint="eastAsia" w:ascii="宋体" w:hAnsi="宋体" w:eastAsia="宋体" w:cs="宋体"/>
          <w:sz w:val="28"/>
          <w:szCs w:val="28"/>
          <w:lang w:val="en-US" w:eastAsia="zh-CN"/>
        </w:rPr>
        <w:t>了</w:t>
      </w:r>
      <w:r>
        <w:rPr>
          <w:rFonts w:hint="eastAsia" w:ascii="宋体" w:hAnsi="宋体" w:eastAsia="宋体" w:cs="宋体"/>
          <w:sz w:val="28"/>
          <w:szCs w:val="28"/>
        </w:rPr>
        <w:t>中职教师教育教学质量提升与教师成长专题培训,邀请专家讲座,老师们认真学习,获益旺浅,取得了较好的培训效果。</w:t>
      </w:r>
    </w:p>
    <w:p>
      <w:pPr>
        <w:adjustRightInd w:val="0"/>
        <w:snapToGrid w:val="0"/>
        <w:spacing w:afterLines="50" w:line="276" w:lineRule="auto"/>
        <w:ind w:firstLine="482" w:firstLineChars="200"/>
        <w:jc w:val="center"/>
        <w:outlineLvl w:val="2"/>
        <w:rPr>
          <w:rFonts w:hint="eastAsia" w:ascii="宋体" w:hAnsi="宋体" w:eastAsia="宋体" w:cs="宋体"/>
          <w:b/>
          <w:bCs/>
          <w:sz w:val="24"/>
          <w:szCs w:val="24"/>
        </w:rPr>
      </w:pPr>
    </w:p>
    <w:p>
      <w:pPr>
        <w:adjustRightInd w:val="0"/>
        <w:snapToGrid w:val="0"/>
        <w:spacing w:afterLines="50" w:line="276" w:lineRule="auto"/>
        <w:ind w:firstLine="482" w:firstLineChars="200"/>
        <w:jc w:val="center"/>
        <w:outlineLvl w:val="2"/>
        <w:rPr>
          <w:rFonts w:hint="eastAsia" w:ascii="宋体" w:hAnsi="宋体" w:eastAsia="宋体" w:cs="宋体"/>
          <w:b/>
          <w:bCs/>
          <w:sz w:val="24"/>
          <w:szCs w:val="24"/>
        </w:rPr>
      </w:pPr>
    </w:p>
    <w:p>
      <w:pPr>
        <w:adjustRightInd w:val="0"/>
        <w:snapToGrid w:val="0"/>
        <w:spacing w:afterLines="50" w:line="276" w:lineRule="auto"/>
        <w:ind w:firstLine="482" w:firstLineChars="200"/>
        <w:jc w:val="center"/>
        <w:outlineLvl w:val="2"/>
        <w:rPr>
          <w:rFonts w:ascii="宋体" w:hAnsi="宋体" w:eastAsia="宋体" w:cs="Times New Roman"/>
          <w:b/>
          <w:bCs/>
          <w:sz w:val="24"/>
          <w:szCs w:val="24"/>
        </w:rPr>
      </w:pPr>
      <w:r>
        <w:rPr>
          <w:rFonts w:hint="eastAsia" w:ascii="宋体" w:hAnsi="宋体" w:eastAsia="宋体" w:cs="宋体"/>
          <w:b/>
          <w:bCs/>
          <w:sz w:val="24"/>
          <w:szCs w:val="24"/>
        </w:rPr>
        <w:t>表</w:t>
      </w:r>
      <w:r>
        <w:rPr>
          <w:rFonts w:hint="eastAsia" w:ascii="宋体" w:hAnsi="宋体" w:eastAsia="宋体" w:cs="宋体"/>
          <w:b/>
          <w:bCs/>
          <w:sz w:val="24"/>
          <w:szCs w:val="24"/>
          <w:lang w:val="en-US" w:eastAsia="zh-CN"/>
        </w:rPr>
        <w:t>3</w:t>
      </w:r>
      <w:r>
        <w:rPr>
          <w:rFonts w:hint="eastAsia" w:ascii="宋体" w:hAnsi="宋体" w:eastAsia="宋体" w:cs="宋体"/>
          <w:b/>
          <w:bCs/>
          <w:sz w:val="24"/>
          <w:szCs w:val="24"/>
        </w:rPr>
        <w:t>：近两学年学校专任教师培训情况</w:t>
      </w:r>
    </w:p>
    <w:tbl>
      <w:tblPr>
        <w:tblStyle w:val="11"/>
        <w:tblW w:w="7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1587"/>
        <w:gridCol w:w="1587"/>
        <w:gridCol w:w="1587"/>
        <w:gridCol w:w="1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587" w:type="dxa"/>
            <w:vAlign w:val="center"/>
          </w:tcPr>
          <w:p>
            <w:pPr>
              <w:adjustRightInd w:val="0"/>
              <w:snapToGrid w:val="0"/>
              <w:spacing w:line="240" w:lineRule="exact"/>
              <w:jc w:val="center"/>
              <w:rPr>
                <w:rFonts w:ascii="宋体" w:hAnsi="宋体" w:eastAsia="宋体" w:cs="Times New Roman"/>
                <w:b/>
                <w:bCs/>
                <w:sz w:val="18"/>
                <w:szCs w:val="18"/>
              </w:rPr>
            </w:pPr>
            <w:r>
              <w:rPr>
                <w:rFonts w:hint="eastAsia" w:ascii="宋体" w:hAnsi="宋体" w:eastAsia="宋体" w:cs="宋体"/>
                <w:b/>
                <w:bCs/>
                <w:sz w:val="18"/>
                <w:szCs w:val="18"/>
              </w:rPr>
              <w:t>学年度</w:t>
            </w:r>
          </w:p>
        </w:tc>
        <w:tc>
          <w:tcPr>
            <w:tcW w:w="1587" w:type="dxa"/>
            <w:vAlign w:val="center"/>
          </w:tcPr>
          <w:p>
            <w:pPr>
              <w:adjustRightInd w:val="0"/>
              <w:snapToGrid w:val="0"/>
              <w:spacing w:line="240" w:lineRule="exact"/>
              <w:jc w:val="center"/>
              <w:rPr>
                <w:rFonts w:ascii="宋体" w:hAnsi="宋体" w:eastAsia="宋体" w:cs="Times New Roman"/>
                <w:b/>
                <w:bCs/>
                <w:sz w:val="18"/>
                <w:szCs w:val="18"/>
              </w:rPr>
            </w:pPr>
            <w:r>
              <w:rPr>
                <w:rFonts w:hint="eastAsia" w:ascii="宋体" w:hAnsi="宋体" w:eastAsia="宋体" w:cs="宋体"/>
                <w:b/>
                <w:bCs/>
                <w:sz w:val="18"/>
                <w:szCs w:val="18"/>
              </w:rPr>
              <w:t>国家级培训（人</w:t>
            </w:r>
            <w:r>
              <w:rPr>
                <w:rFonts w:hint="eastAsia" w:ascii="宋体" w:hAnsi="宋体" w:eastAsia="宋体" w:cs="宋体"/>
                <w:b/>
                <w:bCs/>
                <w:sz w:val="18"/>
                <w:szCs w:val="18"/>
                <w:lang w:val="en-US" w:eastAsia="zh-CN"/>
              </w:rPr>
              <w:t>天</w:t>
            </w:r>
            <w:r>
              <w:rPr>
                <w:rFonts w:hint="eastAsia" w:ascii="宋体" w:hAnsi="宋体" w:eastAsia="宋体" w:cs="宋体"/>
                <w:b/>
                <w:bCs/>
                <w:sz w:val="18"/>
                <w:szCs w:val="18"/>
              </w:rPr>
              <w:t>）</w:t>
            </w:r>
          </w:p>
        </w:tc>
        <w:tc>
          <w:tcPr>
            <w:tcW w:w="1587" w:type="dxa"/>
            <w:vAlign w:val="center"/>
          </w:tcPr>
          <w:p>
            <w:pPr>
              <w:adjustRightInd w:val="0"/>
              <w:snapToGrid w:val="0"/>
              <w:spacing w:line="240" w:lineRule="exact"/>
              <w:jc w:val="center"/>
              <w:rPr>
                <w:rFonts w:ascii="宋体" w:hAnsi="宋体" w:eastAsia="宋体" w:cs="Times New Roman"/>
                <w:b/>
                <w:bCs/>
                <w:sz w:val="18"/>
                <w:szCs w:val="18"/>
              </w:rPr>
            </w:pPr>
            <w:r>
              <w:rPr>
                <w:rFonts w:hint="eastAsia" w:ascii="宋体" w:hAnsi="宋体" w:eastAsia="宋体" w:cs="宋体"/>
                <w:b/>
                <w:bCs/>
                <w:sz w:val="18"/>
                <w:szCs w:val="18"/>
              </w:rPr>
              <w:t>省级培训（人</w:t>
            </w:r>
            <w:r>
              <w:rPr>
                <w:rFonts w:hint="eastAsia" w:ascii="宋体" w:hAnsi="宋体" w:eastAsia="宋体" w:cs="宋体"/>
                <w:b/>
                <w:bCs/>
                <w:sz w:val="18"/>
                <w:szCs w:val="18"/>
                <w:lang w:val="en-US" w:eastAsia="zh-CN"/>
              </w:rPr>
              <w:t>天</w:t>
            </w:r>
            <w:r>
              <w:rPr>
                <w:rFonts w:hint="eastAsia" w:ascii="宋体" w:hAnsi="宋体" w:eastAsia="宋体" w:cs="宋体"/>
                <w:b/>
                <w:bCs/>
                <w:sz w:val="18"/>
                <w:szCs w:val="18"/>
              </w:rPr>
              <w:t>）</w:t>
            </w:r>
          </w:p>
        </w:tc>
        <w:tc>
          <w:tcPr>
            <w:tcW w:w="1587" w:type="dxa"/>
            <w:vAlign w:val="center"/>
          </w:tcPr>
          <w:p>
            <w:pPr>
              <w:adjustRightInd w:val="0"/>
              <w:snapToGrid w:val="0"/>
              <w:spacing w:line="240" w:lineRule="exact"/>
              <w:jc w:val="center"/>
              <w:rPr>
                <w:rFonts w:ascii="宋体" w:hAnsi="宋体" w:eastAsia="宋体" w:cs="Times New Roman"/>
                <w:b/>
                <w:bCs/>
                <w:sz w:val="18"/>
                <w:szCs w:val="18"/>
              </w:rPr>
            </w:pPr>
            <w:r>
              <w:rPr>
                <w:rFonts w:hint="eastAsia" w:ascii="宋体" w:hAnsi="宋体" w:eastAsia="宋体" w:cs="宋体"/>
                <w:b/>
                <w:bCs/>
                <w:sz w:val="18"/>
                <w:szCs w:val="18"/>
              </w:rPr>
              <w:t>校本培训（人</w:t>
            </w:r>
            <w:r>
              <w:rPr>
                <w:rFonts w:hint="eastAsia" w:ascii="宋体" w:hAnsi="宋体" w:eastAsia="宋体" w:cs="宋体"/>
                <w:b/>
                <w:bCs/>
                <w:sz w:val="18"/>
                <w:szCs w:val="18"/>
                <w:lang w:val="en-US" w:eastAsia="zh-CN"/>
              </w:rPr>
              <w:t>天</w:t>
            </w:r>
            <w:r>
              <w:rPr>
                <w:rFonts w:hint="eastAsia" w:ascii="宋体" w:hAnsi="宋体" w:eastAsia="宋体" w:cs="宋体"/>
                <w:b/>
                <w:bCs/>
                <w:sz w:val="18"/>
                <w:szCs w:val="18"/>
              </w:rPr>
              <w:t>）</w:t>
            </w:r>
          </w:p>
        </w:tc>
        <w:tc>
          <w:tcPr>
            <w:tcW w:w="1587" w:type="dxa"/>
            <w:vAlign w:val="center"/>
          </w:tcPr>
          <w:p>
            <w:pPr>
              <w:adjustRightInd w:val="0"/>
              <w:snapToGrid w:val="0"/>
              <w:spacing w:line="240" w:lineRule="exact"/>
              <w:jc w:val="center"/>
              <w:rPr>
                <w:rFonts w:hint="eastAsia" w:ascii="宋体" w:hAnsi="宋体" w:eastAsia="宋体" w:cs="Times New Roman"/>
                <w:b/>
                <w:bCs/>
                <w:kern w:val="2"/>
                <w:sz w:val="18"/>
                <w:szCs w:val="18"/>
                <w:lang w:val="en-US" w:eastAsia="zh-CN" w:bidi="ar-SA"/>
              </w:rPr>
            </w:pPr>
            <w:r>
              <w:rPr>
                <w:rFonts w:hint="eastAsia" w:ascii="宋体" w:hAnsi="宋体" w:eastAsia="宋体" w:cs="宋体"/>
                <w:b/>
                <w:bCs/>
                <w:sz w:val="18"/>
                <w:szCs w:val="18"/>
              </w:rPr>
              <w:t>企业实践（人</w:t>
            </w:r>
            <w:r>
              <w:rPr>
                <w:rFonts w:hint="eastAsia" w:ascii="宋体" w:hAnsi="宋体" w:eastAsia="宋体" w:cs="宋体"/>
                <w:b/>
                <w:bCs/>
                <w:sz w:val="18"/>
                <w:szCs w:val="18"/>
                <w:lang w:val="en-US" w:eastAsia="zh-CN"/>
              </w:rPr>
              <w:t>天</w:t>
            </w:r>
            <w:r>
              <w:rPr>
                <w:rFonts w:hint="eastAsia" w:ascii="宋体" w:hAnsi="宋体" w:eastAsia="宋体" w:cs="宋体"/>
                <w:b/>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587" w:type="dxa"/>
            <w:vAlign w:val="center"/>
          </w:tcPr>
          <w:p>
            <w:pPr>
              <w:spacing w:line="240" w:lineRule="atLeast"/>
              <w:jc w:val="center"/>
              <w:rPr>
                <w:rFonts w:hint="eastAsia" w:ascii="宋体" w:hAnsi="宋体" w:eastAsia="宋体" w:cs="Times New Roman"/>
                <w:b/>
                <w:bCs/>
                <w:sz w:val="18"/>
                <w:szCs w:val="18"/>
                <w:lang w:eastAsia="zh-CN"/>
              </w:rPr>
            </w:pPr>
            <w:r>
              <w:rPr>
                <w:rFonts w:ascii="宋体" w:hAnsi="宋体" w:eastAsia="宋体" w:cs="宋体"/>
                <w:b/>
                <w:bCs/>
                <w:sz w:val="18"/>
                <w:szCs w:val="18"/>
              </w:rPr>
              <w:t>201</w:t>
            </w:r>
            <w:r>
              <w:rPr>
                <w:rFonts w:hint="eastAsia" w:ascii="宋体" w:hAnsi="宋体" w:eastAsia="宋体" w:cs="宋体"/>
                <w:b/>
                <w:bCs/>
                <w:sz w:val="18"/>
                <w:szCs w:val="18"/>
                <w:lang w:val="en-US" w:eastAsia="zh-CN"/>
              </w:rPr>
              <w:t>8</w:t>
            </w:r>
            <w:r>
              <w:rPr>
                <w:rFonts w:hint="eastAsia" w:ascii="宋体" w:hAnsi="宋体" w:eastAsia="宋体" w:cs="宋体"/>
                <w:b/>
                <w:bCs/>
                <w:sz w:val="18"/>
                <w:szCs w:val="18"/>
              </w:rPr>
              <w:t>～</w:t>
            </w:r>
            <w:r>
              <w:rPr>
                <w:rFonts w:ascii="宋体" w:hAnsi="宋体" w:eastAsia="宋体" w:cs="宋体"/>
                <w:b/>
                <w:bCs/>
                <w:sz w:val="18"/>
                <w:szCs w:val="18"/>
              </w:rPr>
              <w:t>20</w:t>
            </w:r>
            <w:r>
              <w:rPr>
                <w:rFonts w:hint="eastAsia" w:ascii="宋体" w:hAnsi="宋体" w:eastAsia="宋体" w:cs="宋体"/>
                <w:b/>
                <w:bCs/>
                <w:sz w:val="18"/>
                <w:szCs w:val="18"/>
                <w:lang w:val="en-US" w:eastAsia="zh-CN"/>
              </w:rPr>
              <w:t>19</w:t>
            </w:r>
          </w:p>
        </w:tc>
        <w:tc>
          <w:tcPr>
            <w:tcW w:w="1587" w:type="dxa"/>
            <w:vAlign w:val="center"/>
          </w:tcPr>
          <w:p>
            <w:pPr>
              <w:jc w:val="center"/>
              <w:rPr>
                <w:rFonts w:hint="default" w:eastAsia="方正仿宋_GBK"/>
                <w:sz w:val="21"/>
                <w:szCs w:val="21"/>
                <w:lang w:val="en-US" w:eastAsia="zh-CN"/>
              </w:rPr>
            </w:pPr>
            <w:r>
              <w:rPr>
                <w:rFonts w:hint="eastAsia"/>
                <w:sz w:val="21"/>
                <w:szCs w:val="21"/>
                <w:lang w:val="en-US" w:eastAsia="zh-CN"/>
              </w:rPr>
              <w:t>30</w:t>
            </w:r>
          </w:p>
        </w:tc>
        <w:tc>
          <w:tcPr>
            <w:tcW w:w="1587" w:type="dxa"/>
            <w:vAlign w:val="center"/>
          </w:tcPr>
          <w:p>
            <w:pPr>
              <w:jc w:val="center"/>
              <w:rPr>
                <w:rFonts w:hint="default" w:eastAsia="方正仿宋_GBK"/>
                <w:sz w:val="21"/>
                <w:szCs w:val="21"/>
                <w:lang w:val="en-US" w:eastAsia="zh-CN"/>
              </w:rPr>
            </w:pPr>
            <w:r>
              <w:rPr>
                <w:rFonts w:hint="eastAsia"/>
                <w:sz w:val="21"/>
                <w:szCs w:val="21"/>
                <w:lang w:val="en-US" w:eastAsia="zh-CN"/>
              </w:rPr>
              <w:t>110</w:t>
            </w:r>
          </w:p>
        </w:tc>
        <w:tc>
          <w:tcPr>
            <w:tcW w:w="1587" w:type="dxa"/>
            <w:vAlign w:val="center"/>
          </w:tcPr>
          <w:p>
            <w:pPr>
              <w:jc w:val="center"/>
              <w:rPr>
                <w:sz w:val="21"/>
                <w:szCs w:val="21"/>
              </w:rPr>
            </w:pPr>
            <w:r>
              <w:rPr>
                <w:sz w:val="21"/>
                <w:szCs w:val="21"/>
              </w:rPr>
              <w:t>320</w:t>
            </w:r>
          </w:p>
        </w:tc>
        <w:tc>
          <w:tcPr>
            <w:tcW w:w="1587" w:type="dxa"/>
            <w:vAlign w:val="center"/>
          </w:tcPr>
          <w:p>
            <w:pPr>
              <w:jc w:val="center"/>
              <w:rPr>
                <w:rFonts w:hint="default" w:ascii="Calibri" w:hAnsi="Calibri" w:eastAsia="方正仿宋_GBK" w:cs="Calibri"/>
                <w:kern w:val="2"/>
                <w:sz w:val="21"/>
                <w:szCs w:val="21"/>
                <w:lang w:val="en-US" w:eastAsia="zh-CN" w:bidi="ar-SA"/>
              </w:rPr>
            </w:pPr>
            <w:r>
              <w:rPr>
                <w:rFonts w:hint="eastAsia"/>
                <w:sz w:val="21"/>
                <w:szCs w:val="21"/>
                <w:lang w:val="en-US" w:eastAsia="zh-C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587" w:type="dxa"/>
            <w:vAlign w:val="center"/>
          </w:tcPr>
          <w:p>
            <w:pPr>
              <w:spacing w:line="240" w:lineRule="atLeast"/>
              <w:jc w:val="center"/>
              <w:rPr>
                <w:rFonts w:hint="default" w:ascii="宋体" w:hAnsi="宋体" w:eastAsia="宋体" w:cs="Times New Roman"/>
                <w:b/>
                <w:bCs/>
                <w:sz w:val="18"/>
                <w:szCs w:val="18"/>
                <w:lang w:val="en-US" w:eastAsia="zh-CN"/>
              </w:rPr>
            </w:pPr>
            <w:r>
              <w:rPr>
                <w:rFonts w:ascii="宋体" w:hAnsi="宋体" w:eastAsia="宋体" w:cs="宋体"/>
                <w:b/>
                <w:bCs/>
                <w:sz w:val="18"/>
                <w:szCs w:val="18"/>
              </w:rPr>
              <w:t>20</w:t>
            </w:r>
            <w:r>
              <w:rPr>
                <w:rFonts w:hint="eastAsia" w:ascii="宋体" w:hAnsi="宋体" w:eastAsia="宋体" w:cs="宋体"/>
                <w:b/>
                <w:bCs/>
                <w:sz w:val="18"/>
                <w:szCs w:val="18"/>
                <w:lang w:val="en-US" w:eastAsia="zh-CN"/>
              </w:rPr>
              <w:t>19</w:t>
            </w:r>
            <w:r>
              <w:rPr>
                <w:rFonts w:hint="eastAsia" w:ascii="宋体" w:hAnsi="宋体" w:eastAsia="宋体" w:cs="宋体"/>
                <w:b/>
                <w:bCs/>
                <w:sz w:val="18"/>
                <w:szCs w:val="18"/>
              </w:rPr>
              <w:t>～</w:t>
            </w:r>
            <w:r>
              <w:rPr>
                <w:rFonts w:ascii="宋体" w:hAnsi="宋体" w:eastAsia="宋体" w:cs="宋体"/>
                <w:b/>
                <w:bCs/>
                <w:sz w:val="18"/>
                <w:szCs w:val="18"/>
              </w:rPr>
              <w:t>2</w:t>
            </w:r>
            <w:r>
              <w:rPr>
                <w:rFonts w:hint="eastAsia" w:ascii="宋体" w:hAnsi="宋体" w:eastAsia="宋体" w:cs="宋体"/>
                <w:b/>
                <w:bCs/>
                <w:sz w:val="18"/>
                <w:szCs w:val="18"/>
                <w:lang w:val="en-US" w:eastAsia="zh-CN"/>
              </w:rPr>
              <w:t>020</w:t>
            </w:r>
          </w:p>
        </w:tc>
        <w:tc>
          <w:tcPr>
            <w:tcW w:w="1587" w:type="dxa"/>
            <w:vAlign w:val="center"/>
          </w:tcPr>
          <w:p>
            <w:pPr>
              <w:jc w:val="center"/>
              <w:rPr>
                <w:rFonts w:hint="default" w:eastAsia="方正仿宋_GBK"/>
                <w:sz w:val="21"/>
                <w:szCs w:val="21"/>
                <w:lang w:val="en-US" w:eastAsia="zh-CN"/>
              </w:rPr>
            </w:pPr>
            <w:r>
              <w:rPr>
                <w:rFonts w:hint="eastAsia"/>
                <w:sz w:val="21"/>
                <w:szCs w:val="21"/>
                <w:lang w:val="en-US" w:eastAsia="zh-CN"/>
              </w:rPr>
              <w:t>15</w:t>
            </w:r>
          </w:p>
        </w:tc>
        <w:tc>
          <w:tcPr>
            <w:tcW w:w="1587" w:type="dxa"/>
            <w:vAlign w:val="center"/>
          </w:tcPr>
          <w:p>
            <w:pPr>
              <w:jc w:val="center"/>
              <w:rPr>
                <w:rFonts w:hint="default" w:eastAsia="方正仿宋_GBK"/>
                <w:sz w:val="21"/>
                <w:szCs w:val="21"/>
                <w:lang w:val="en-US" w:eastAsia="zh-CN"/>
              </w:rPr>
            </w:pPr>
            <w:r>
              <w:rPr>
                <w:rFonts w:hint="eastAsia"/>
                <w:sz w:val="21"/>
                <w:szCs w:val="21"/>
                <w:lang w:val="en-US" w:eastAsia="zh-CN"/>
              </w:rPr>
              <w:t>50</w:t>
            </w:r>
          </w:p>
        </w:tc>
        <w:tc>
          <w:tcPr>
            <w:tcW w:w="1587" w:type="dxa"/>
            <w:vAlign w:val="center"/>
          </w:tcPr>
          <w:p>
            <w:pPr>
              <w:jc w:val="center"/>
              <w:rPr>
                <w:rFonts w:hint="default" w:eastAsia="方正仿宋_GBK"/>
                <w:sz w:val="21"/>
                <w:szCs w:val="21"/>
                <w:lang w:val="en-US" w:eastAsia="zh-CN"/>
              </w:rPr>
            </w:pPr>
            <w:r>
              <w:rPr>
                <w:rFonts w:hint="eastAsia"/>
                <w:sz w:val="21"/>
                <w:szCs w:val="21"/>
                <w:lang w:val="en-US" w:eastAsia="zh-CN"/>
              </w:rPr>
              <w:t>138</w:t>
            </w:r>
          </w:p>
        </w:tc>
        <w:tc>
          <w:tcPr>
            <w:tcW w:w="1587" w:type="dxa"/>
            <w:vAlign w:val="center"/>
          </w:tcPr>
          <w:p>
            <w:pPr>
              <w:jc w:val="center"/>
              <w:rPr>
                <w:rFonts w:hint="eastAsia" w:ascii="Calibri" w:hAnsi="Calibri" w:eastAsia="方正仿宋_GBK" w:cs="Calibri"/>
                <w:kern w:val="2"/>
                <w:sz w:val="21"/>
                <w:szCs w:val="21"/>
                <w:lang w:val="en-US" w:eastAsia="zh-CN" w:bidi="ar-SA"/>
              </w:rPr>
            </w:pPr>
            <w:r>
              <w:rPr>
                <w:rFonts w:hint="eastAsia"/>
                <w:sz w:val="21"/>
                <w:szCs w:val="21"/>
                <w:lang w:val="en-US" w:eastAsia="zh-CN"/>
              </w:rPr>
              <w:t>0</w:t>
            </w:r>
          </w:p>
        </w:tc>
      </w:tr>
    </w:tbl>
    <w:p>
      <w:pPr>
        <w:pStyle w:val="3"/>
        <w:spacing w:before="0" w:after="0" w:line="240" w:lineRule="auto"/>
        <w:ind w:firstLine="560" w:firstLineChars="200"/>
        <w:rPr>
          <w:rFonts w:ascii="宋体" w:hAnsi="宋体" w:eastAsia="宋体" w:cs="Times New Roman"/>
          <w:b w:val="0"/>
          <w:bCs w:val="0"/>
          <w:sz w:val="28"/>
          <w:szCs w:val="28"/>
        </w:rPr>
      </w:pPr>
      <w:bookmarkStart w:id="24" w:name="_Toc34123283"/>
      <w:r>
        <w:rPr>
          <w:rFonts w:ascii="宋体" w:hAnsi="宋体" w:eastAsia="宋体" w:cs="宋体"/>
          <w:b w:val="0"/>
          <w:bCs w:val="0"/>
          <w:sz w:val="28"/>
          <w:szCs w:val="28"/>
        </w:rPr>
        <w:t>3.4</w:t>
      </w:r>
      <w:r>
        <w:rPr>
          <w:rFonts w:hint="eastAsia" w:ascii="宋体" w:hAnsi="宋体" w:eastAsia="宋体" w:cs="宋体"/>
          <w:b w:val="0"/>
          <w:bCs w:val="0"/>
          <w:sz w:val="28"/>
          <w:szCs w:val="28"/>
        </w:rPr>
        <w:t>规范管理情况</w:t>
      </w:r>
      <w:bookmarkEnd w:id="24"/>
    </w:p>
    <w:p>
      <w:pPr>
        <w:ind w:firstLine="560" w:firstLineChars="200"/>
        <w:rPr>
          <w:rFonts w:ascii="宋体" w:hAnsi="宋体" w:eastAsia="宋体" w:cs="Times New Roman"/>
          <w:sz w:val="28"/>
          <w:szCs w:val="28"/>
        </w:rPr>
      </w:pPr>
      <w:r>
        <w:rPr>
          <w:rFonts w:ascii="宋体" w:hAnsi="宋体" w:eastAsia="宋体" w:cs="宋体"/>
          <w:sz w:val="28"/>
          <w:szCs w:val="28"/>
        </w:rPr>
        <w:t>3.4.1</w:t>
      </w:r>
      <w:r>
        <w:rPr>
          <w:rFonts w:hint="eastAsia" w:ascii="宋体" w:hAnsi="宋体" w:eastAsia="宋体" w:cs="宋体"/>
          <w:sz w:val="28"/>
          <w:szCs w:val="28"/>
        </w:rPr>
        <w:t>教学管理</w:t>
      </w:r>
    </w:p>
    <w:p>
      <w:pPr>
        <w:widowControl/>
        <w:spacing w:line="560" w:lineRule="atLeast"/>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学校严格执行课程标准和规范教师从教行为，落实课程管理，开齐课程，开足课时；突出教学工作的中心地位，制订学校教学工作计划、教研组工作计划和各科教学计划，严格执行教学工作月报制度，确保教学活动的正常有序进行；抓好集体备课、公开课、说课、评课环节，强化学生作业管理，严格控制作业量，提高作业效率和减轻学生负担，及时批改，准确掌握学生学习情况；使用现代远程教育设施设备，充分应用远程教育资源服务教学</w:t>
      </w:r>
      <w:r>
        <w:rPr>
          <w:rFonts w:hint="eastAsia" w:ascii="宋体" w:hAnsi="宋体" w:eastAsia="宋体" w:cs="宋体"/>
          <w:sz w:val="28"/>
          <w:szCs w:val="28"/>
          <w:lang w:eastAsia="zh-CN"/>
        </w:rPr>
        <w:t>。</w:t>
      </w:r>
    </w:p>
    <w:p>
      <w:pPr>
        <w:widowControl/>
        <w:spacing w:line="560" w:lineRule="atLeast"/>
        <w:ind w:firstLine="560" w:firstLineChars="200"/>
        <w:rPr>
          <w:rFonts w:ascii="宋体" w:hAnsi="宋体" w:eastAsia="宋体" w:cs="Times New Roman"/>
          <w:sz w:val="28"/>
          <w:szCs w:val="28"/>
        </w:rPr>
      </w:pPr>
      <w:r>
        <w:rPr>
          <w:rFonts w:hint="eastAsia" w:ascii="宋体" w:hAnsi="宋体" w:eastAsia="宋体" w:cs="宋体"/>
          <w:sz w:val="28"/>
          <w:szCs w:val="28"/>
          <w:lang w:val="en-US" w:eastAsia="zh-CN"/>
        </w:rPr>
        <w:t>学校</w:t>
      </w:r>
      <w:r>
        <w:rPr>
          <w:rFonts w:hint="eastAsia" w:ascii="宋体" w:hAnsi="宋体" w:eastAsia="宋体" w:cs="宋体"/>
          <w:sz w:val="28"/>
          <w:szCs w:val="28"/>
        </w:rPr>
        <w:t>制定了多项教学管理规章制度，内容包括教师教学工作规范、教师听课制度、教学事故处理办法、教育教学督导工作细则、教师</w:t>
      </w:r>
      <w:r>
        <w:rPr>
          <w:rFonts w:hint="eastAsia" w:ascii="宋体" w:hAnsi="宋体" w:eastAsia="宋体" w:cs="宋体"/>
          <w:sz w:val="28"/>
          <w:szCs w:val="28"/>
          <w:lang w:val="en-US" w:eastAsia="zh-CN"/>
        </w:rPr>
        <w:t>企业实践</w:t>
      </w:r>
      <w:r>
        <w:rPr>
          <w:rFonts w:hint="eastAsia" w:ascii="宋体" w:hAnsi="宋体" w:eastAsia="宋体" w:cs="宋体"/>
          <w:sz w:val="28"/>
          <w:szCs w:val="28"/>
        </w:rPr>
        <w:t>管理规定、考试考核管理指导意见等，并认真实施，有效地规范了教师教育教学行为，提高了教学质量，确保了人才培养目标的实现。</w:t>
      </w:r>
    </w:p>
    <w:p>
      <w:pPr>
        <w:ind w:firstLine="560" w:firstLineChars="200"/>
        <w:rPr>
          <w:rFonts w:ascii="宋体" w:hAnsi="宋体" w:eastAsia="宋体" w:cs="Times New Roman"/>
          <w:sz w:val="28"/>
          <w:szCs w:val="28"/>
        </w:rPr>
      </w:pPr>
      <w:r>
        <w:rPr>
          <w:rFonts w:ascii="宋体" w:hAnsi="宋体" w:eastAsia="宋体" w:cs="宋体"/>
          <w:sz w:val="28"/>
          <w:szCs w:val="28"/>
        </w:rPr>
        <w:t>3.4.2</w:t>
      </w:r>
      <w:r>
        <w:rPr>
          <w:rFonts w:hint="eastAsia" w:ascii="宋体" w:hAnsi="宋体" w:eastAsia="宋体" w:cs="宋体"/>
          <w:sz w:val="28"/>
          <w:szCs w:val="28"/>
        </w:rPr>
        <w:t>学生管理</w:t>
      </w:r>
    </w:p>
    <w:p>
      <w:pPr>
        <w:ind w:firstLine="560" w:firstLineChars="200"/>
        <w:rPr>
          <w:rFonts w:hint="eastAsia" w:ascii="宋体" w:hAnsi="宋体" w:eastAsia="宋体" w:cs="宋体"/>
          <w:sz w:val="28"/>
          <w:szCs w:val="28"/>
        </w:rPr>
      </w:pPr>
      <w:r>
        <w:rPr>
          <w:rFonts w:hint="eastAsia" w:ascii="宋体" w:hAnsi="宋体" w:eastAsia="宋体" w:cs="宋体"/>
          <w:sz w:val="28"/>
          <w:szCs w:val="28"/>
        </w:rPr>
        <w:t>一是加强班主任队伍建设。学校进一步加强班主任队伍建设，健全班主任岗位职责、工作条例、班主任工作量化考评激励机制，完善了班主任考核制度，并建立了班主任档案制度，将班主任的工作与职称评审直接挂钩，强化了班主任管理。</w:t>
      </w:r>
    </w:p>
    <w:p>
      <w:pPr>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二是</w:t>
      </w:r>
      <w:r>
        <w:rPr>
          <w:rFonts w:hint="eastAsia" w:ascii="宋体" w:hAnsi="宋体" w:eastAsia="宋体" w:cs="宋体"/>
          <w:sz w:val="28"/>
          <w:szCs w:val="28"/>
        </w:rPr>
        <w:t>配合党团组织搞好学生党、团组织建设，抓好学生的党课学习，指导班团组织的工作。做好学生分会干部的选拔、培养工作，充分调动他们的自我教育，自我管理的积极性，逐步形成学生自治机制。</w:t>
      </w:r>
    </w:p>
    <w:p>
      <w:pPr>
        <w:ind w:firstLine="560" w:firstLineChars="200"/>
        <w:rPr>
          <w:rFonts w:hint="eastAsia" w:ascii="宋体" w:hAnsi="宋体" w:eastAsia="宋体" w:cs="宋体"/>
          <w:sz w:val="28"/>
          <w:szCs w:val="28"/>
        </w:rPr>
      </w:pPr>
      <w:r>
        <w:rPr>
          <w:rFonts w:hint="eastAsia" w:ascii="宋体" w:hAnsi="宋体" w:eastAsia="宋体" w:cs="宋体"/>
          <w:sz w:val="28"/>
          <w:szCs w:val="28"/>
          <w:lang w:eastAsia="zh-CN"/>
        </w:rPr>
        <w:t>三</w:t>
      </w:r>
      <w:r>
        <w:rPr>
          <w:rFonts w:hint="eastAsia" w:ascii="宋体" w:hAnsi="宋体" w:eastAsia="宋体" w:cs="宋体"/>
          <w:sz w:val="28"/>
          <w:szCs w:val="28"/>
          <w:lang w:val="en-US" w:eastAsia="zh-CN"/>
        </w:rPr>
        <w:t>是</w:t>
      </w:r>
      <w:r>
        <w:rPr>
          <w:rFonts w:hint="eastAsia" w:ascii="宋体" w:hAnsi="宋体" w:eastAsia="宋体" w:cs="宋体"/>
          <w:sz w:val="28"/>
          <w:szCs w:val="28"/>
        </w:rPr>
        <w:t>组织学生开展丰富多彩的第二课堂活动、社会实践活动、义务劳动，寓教育于各种活动之中。关心学生生活、身体，尽力为学生排难解忧，组织班主任、学生搞好内务和清洁卫生</w:t>
      </w:r>
    </w:p>
    <w:p>
      <w:pPr>
        <w:ind w:firstLine="560" w:firstLineChars="200"/>
        <w:jc w:val="both"/>
        <w:rPr>
          <w:rFonts w:hint="eastAsia" w:ascii="宋体" w:hAnsi="宋体" w:eastAsia="宋体" w:cs="宋体"/>
          <w:sz w:val="28"/>
          <w:szCs w:val="28"/>
          <w:lang w:eastAsia="zh-CN"/>
        </w:rPr>
      </w:pPr>
      <w:r>
        <w:rPr>
          <w:rFonts w:hint="eastAsia" w:ascii="宋体" w:hAnsi="宋体" w:eastAsia="宋体" w:cs="宋体"/>
          <w:sz w:val="28"/>
          <w:szCs w:val="28"/>
          <w:lang w:eastAsia="zh-CN"/>
        </w:rPr>
        <w:t>四</w:t>
      </w:r>
      <w:r>
        <w:rPr>
          <w:rFonts w:hint="eastAsia" w:ascii="宋体" w:hAnsi="宋体" w:eastAsia="宋体" w:cs="宋体"/>
          <w:sz w:val="28"/>
          <w:szCs w:val="28"/>
        </w:rPr>
        <w:t>是开展专项教育活动。通过开展“优秀学生干部”、“三好学生”、“文明学生”、“校园文明宿舍”、“优秀团支部”评选活动，以及“校园班级文化”、“法律教育宣传”等专题教育活动等等，提升了学生的法纪意识和自我管理能力。</w:t>
      </w:r>
    </w:p>
    <w:p>
      <w:pPr>
        <w:ind w:firstLine="560" w:firstLineChars="200"/>
        <w:jc w:val="both"/>
        <w:rPr>
          <w:rFonts w:hint="eastAsia" w:ascii="宋体" w:hAnsi="宋体" w:eastAsia="宋体" w:cs="宋体"/>
          <w:sz w:val="28"/>
          <w:szCs w:val="28"/>
          <w:lang w:eastAsia="zh-CN"/>
        </w:rPr>
      </w:pPr>
      <w:r>
        <w:rPr>
          <w:rFonts w:hint="eastAsia" w:ascii="宋体" w:hAnsi="宋体" w:eastAsia="宋体" w:cs="宋体"/>
          <w:sz w:val="28"/>
          <w:szCs w:val="28"/>
          <w:lang w:eastAsia="zh-CN"/>
        </w:rPr>
        <w:t>五</w:t>
      </w:r>
      <w:r>
        <w:rPr>
          <w:rFonts w:hint="eastAsia" w:ascii="宋体" w:hAnsi="宋体" w:eastAsia="宋体" w:cs="宋体"/>
          <w:sz w:val="28"/>
          <w:szCs w:val="28"/>
          <w:lang w:val="en-US" w:eastAsia="zh-CN"/>
        </w:rPr>
        <w:t>是</w:t>
      </w: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年我校为进一步加强学生思想道德建设、树立典型、激励学生</w:t>
      </w:r>
      <w:r>
        <w:rPr>
          <w:rFonts w:hint="eastAsia" w:ascii="宋体" w:hAnsi="宋体" w:eastAsia="宋体" w:cs="宋体"/>
          <w:sz w:val="28"/>
          <w:szCs w:val="28"/>
          <w:lang w:eastAsia="zh-CN"/>
        </w:rPr>
        <w:t>加强疫情防控，及时填写健康码。按照教育局相关要求，疫情防控期间实行疫情“日报告”制度。</w:t>
      </w:r>
    </w:p>
    <w:p>
      <w:pPr>
        <w:ind w:firstLine="560" w:firstLineChars="200"/>
        <w:rPr>
          <w:rFonts w:ascii="宋体" w:hAnsi="宋体" w:eastAsia="宋体" w:cs="Times New Roman"/>
          <w:sz w:val="28"/>
          <w:szCs w:val="28"/>
        </w:rPr>
      </w:pPr>
    </w:p>
    <w:p>
      <w:pPr>
        <w:jc w:val="center"/>
        <w:rPr>
          <w:rFonts w:ascii="宋体" w:hAnsi="宋体" w:eastAsia="宋体" w:cs="Times New Roman"/>
          <w:sz w:val="28"/>
          <w:szCs w:val="28"/>
        </w:rPr>
      </w:pPr>
      <w:r>
        <w:rPr>
          <w:rFonts w:ascii="仿宋_GB2312" w:eastAsia="仿宋_GB2312" w:cs="仿宋_GB2312"/>
          <w:sz w:val="32"/>
          <w:szCs w:val="32"/>
        </w:rPr>
        <w:drawing>
          <wp:inline distT="0" distB="0" distL="114300" distR="114300">
            <wp:extent cx="5438140" cy="2958465"/>
            <wp:effectExtent l="0" t="0" r="10160" b="13335"/>
            <wp:docPr id="29" name="图片 1" descr="DSC_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descr="DSC_4548"/>
                    <pic:cNvPicPr>
                      <a:picLocks noChangeAspect="1"/>
                    </pic:cNvPicPr>
                  </pic:nvPicPr>
                  <pic:blipFill>
                    <a:blip r:embed="rId14"/>
                    <a:stretch>
                      <a:fillRect/>
                    </a:stretch>
                  </pic:blipFill>
                  <pic:spPr>
                    <a:xfrm>
                      <a:off x="0" y="0"/>
                      <a:ext cx="5438140" cy="2958465"/>
                    </a:xfrm>
                    <a:prstGeom prst="rect">
                      <a:avLst/>
                    </a:prstGeom>
                    <a:noFill/>
                    <a:ln>
                      <a:noFill/>
                    </a:ln>
                  </pic:spPr>
                </pic:pic>
              </a:graphicData>
            </a:graphic>
          </wp:inline>
        </w:drawing>
      </w:r>
    </w:p>
    <w:p>
      <w:pPr>
        <w:ind w:firstLine="562" w:firstLineChars="200"/>
        <w:jc w:val="center"/>
        <w:rPr>
          <w:rFonts w:hint="default" w:ascii="宋体" w:hAnsi="宋体" w:eastAsia="宋体" w:cs="Times New Roman"/>
          <w:b/>
          <w:bCs/>
          <w:sz w:val="28"/>
          <w:szCs w:val="28"/>
          <w:lang w:val="en-US"/>
        </w:rPr>
      </w:pPr>
      <w:r>
        <w:rPr>
          <w:rFonts w:ascii="宋体" w:hAnsi="宋体" w:eastAsia="宋体" w:cs="宋体"/>
          <w:b/>
          <w:bCs/>
          <w:sz w:val="28"/>
          <w:szCs w:val="28"/>
        </w:rPr>
        <w:t>201</w:t>
      </w:r>
      <w:r>
        <w:rPr>
          <w:rFonts w:hint="eastAsia" w:ascii="宋体" w:hAnsi="宋体" w:eastAsia="宋体" w:cs="宋体"/>
          <w:b/>
          <w:bCs/>
          <w:sz w:val="28"/>
          <w:szCs w:val="28"/>
          <w:lang w:val="en-US" w:eastAsia="zh-CN"/>
        </w:rPr>
        <w:t>9-2020</w:t>
      </w:r>
      <w:r>
        <w:rPr>
          <w:rFonts w:hint="eastAsia" w:ascii="宋体" w:hAnsi="宋体" w:eastAsia="宋体" w:cs="宋体"/>
          <w:b/>
          <w:bCs/>
          <w:sz w:val="28"/>
          <w:szCs w:val="28"/>
        </w:rPr>
        <w:t>学年度</w:t>
      </w:r>
      <w:r>
        <w:rPr>
          <w:rFonts w:hint="eastAsia" w:ascii="宋体" w:hAnsi="宋体" w:eastAsia="宋体" w:cs="宋体"/>
          <w:b/>
          <w:bCs/>
          <w:sz w:val="28"/>
          <w:szCs w:val="28"/>
          <w:lang w:val="en-US" w:eastAsia="zh-CN"/>
        </w:rPr>
        <w:t>新团员入团宣誓仪式暨先优表彰大会</w:t>
      </w:r>
    </w:p>
    <w:p>
      <w:pPr>
        <w:ind w:firstLine="560" w:firstLineChars="200"/>
        <w:rPr>
          <w:rFonts w:ascii="宋体" w:hAnsi="宋体" w:eastAsia="宋体" w:cs="Times New Roman"/>
          <w:sz w:val="28"/>
          <w:szCs w:val="28"/>
        </w:rPr>
      </w:pPr>
      <w:r>
        <w:rPr>
          <w:rFonts w:ascii="宋体" w:hAnsi="宋体" w:eastAsia="宋体" w:cs="宋体"/>
          <w:sz w:val="28"/>
          <w:szCs w:val="28"/>
        </w:rPr>
        <w:t>3.4.3</w:t>
      </w:r>
      <w:r>
        <w:rPr>
          <w:rFonts w:hint="eastAsia" w:ascii="宋体" w:hAnsi="宋体" w:eastAsia="宋体" w:cs="宋体"/>
          <w:sz w:val="28"/>
          <w:szCs w:val="28"/>
        </w:rPr>
        <w:t>财务管理</w:t>
      </w:r>
    </w:p>
    <w:p>
      <w:pPr>
        <w:ind w:firstLine="560" w:firstLineChars="200"/>
        <w:rPr>
          <w:rFonts w:ascii="宋体" w:hAnsi="宋体" w:eastAsia="宋体" w:cs="宋体"/>
          <w:sz w:val="28"/>
          <w:szCs w:val="28"/>
        </w:rPr>
      </w:pPr>
      <w:r>
        <w:rPr>
          <w:rFonts w:hint="eastAsia" w:ascii="宋体" w:hAnsi="宋体" w:eastAsia="宋体" w:cs="宋体"/>
          <w:sz w:val="28"/>
          <w:szCs w:val="28"/>
        </w:rPr>
        <w:t>学校建立</w:t>
      </w:r>
      <w:r>
        <w:rPr>
          <w:rFonts w:hint="eastAsia" w:ascii="宋体" w:hAnsi="宋体" w:eastAsia="宋体" w:cs="宋体"/>
          <w:sz w:val="28"/>
          <w:szCs w:val="28"/>
          <w:lang w:val="en-US" w:eastAsia="zh-CN"/>
        </w:rPr>
        <w:t>健</w:t>
      </w:r>
      <w:r>
        <w:rPr>
          <w:rFonts w:hint="eastAsia" w:ascii="宋体" w:hAnsi="宋体" w:eastAsia="宋体" w:cs="宋体"/>
          <w:sz w:val="28"/>
          <w:szCs w:val="28"/>
        </w:rPr>
        <w:t>全了《财务管理办法》《资产管理办法》《预决算管理制度》《物资采购管理制度》等各项财务规章制度，严格执行国家有关法律法规、财务政策和财务规章制度。会计核算按照事业单位会计制度执行，采用收付实现制。学校严格执行经费预算方案，坚持量入为出、专款专用、勤俭节约的原则，严格执行“收支两条线”管理制度，认真做好财务核算工作，合理安排收支预算，积极争取各项教育经费，为教育发展提供财力支撑。学校严明收费纪律，按照收费许可项目进行收费，努力增收节支，加强资金使用效益，使得学校能够集中财力办事业。在专项资金使用上，学校按照项目资金管理使用规定，强化资金使用的监督管理，确保资金使用规范。发生的重大经济业务事项，按照“三重一大”制度执行。学校财务管理工作做到了有法可依，有章可循，实现了管理的规范化、制度化。</w:t>
      </w:r>
    </w:p>
    <w:p>
      <w:pPr>
        <w:ind w:firstLine="560" w:firstLineChars="200"/>
        <w:rPr>
          <w:rFonts w:ascii="宋体" w:hAnsi="宋体" w:eastAsia="宋体" w:cs="Times New Roman"/>
          <w:sz w:val="28"/>
          <w:szCs w:val="28"/>
        </w:rPr>
      </w:pPr>
      <w:r>
        <w:rPr>
          <w:rFonts w:ascii="宋体" w:hAnsi="宋体" w:eastAsia="宋体" w:cs="Times New Roman"/>
          <w:sz w:val="28"/>
          <w:szCs w:val="28"/>
        </w:rPr>
        <w:t>3.4.4</w:t>
      </w:r>
      <w:r>
        <w:rPr>
          <w:rFonts w:hint="eastAsia" w:ascii="宋体" w:hAnsi="宋体" w:eastAsia="宋体" w:cs="Times New Roman"/>
          <w:sz w:val="28"/>
          <w:szCs w:val="28"/>
        </w:rPr>
        <w:t>后勤管理</w:t>
      </w:r>
    </w:p>
    <w:p>
      <w:pPr>
        <w:ind w:firstLine="560" w:firstLineChars="200"/>
        <w:rPr>
          <w:rFonts w:hint="eastAsia" w:ascii="宋体" w:hAnsi="宋体" w:eastAsia="宋体" w:cs="Times New Roman"/>
          <w:sz w:val="28"/>
          <w:szCs w:val="28"/>
        </w:rPr>
      </w:pPr>
      <w:r>
        <w:rPr>
          <w:rFonts w:hint="eastAsia" w:ascii="宋体" w:hAnsi="宋体" w:eastAsia="宋体" w:cs="Times New Roman"/>
          <w:sz w:val="28"/>
          <w:szCs w:val="28"/>
        </w:rPr>
        <w:t>后勤工作是确保学校各项工作有序开展的物质保障</w:t>
      </w:r>
      <w:r>
        <w:rPr>
          <w:rFonts w:hint="eastAsia" w:ascii="宋体" w:hAnsi="宋体" w:eastAsia="宋体" w:cs="Times New Roman"/>
          <w:sz w:val="28"/>
          <w:szCs w:val="28"/>
          <w:lang w:eastAsia="zh-CN"/>
        </w:rPr>
        <w:t>，</w:t>
      </w:r>
      <w:r>
        <w:rPr>
          <w:rFonts w:hint="eastAsia" w:ascii="宋体" w:hAnsi="宋体" w:eastAsia="宋体" w:cs="Times New Roman"/>
          <w:sz w:val="28"/>
          <w:szCs w:val="28"/>
        </w:rPr>
        <w:t>学校确立“师生至上、服务第一”的服务宗旨，制定和完善后勤各岗位工作职责，细化了后勤管理各项制度，明确分工、落实责任、按章办事，为开展教育、教学活动提供有力的保障</w:t>
      </w:r>
      <w:r>
        <w:rPr>
          <w:rFonts w:hint="eastAsia" w:ascii="宋体" w:hAnsi="宋体" w:eastAsia="宋体" w:cs="Times New Roman"/>
          <w:sz w:val="28"/>
          <w:szCs w:val="28"/>
          <w:lang w:eastAsia="zh-CN"/>
        </w:rPr>
        <w:t>，</w:t>
      </w:r>
      <w:r>
        <w:rPr>
          <w:rFonts w:hint="eastAsia" w:ascii="宋体" w:hAnsi="宋体" w:eastAsia="宋体" w:cs="Times New Roman"/>
          <w:sz w:val="28"/>
          <w:szCs w:val="28"/>
        </w:rPr>
        <w:t>我校后勤管理工作充分树立服务教育教学中心工作的意识，超前思考，超前谋划，超前安排，坚持开源节流，科学安排，充分利用有限资金，保障教育教学等中心工作，正常有序开展。同时根据学校经济状况，积极争取职教资金，努力改善办学条件。</w:t>
      </w:r>
    </w:p>
    <w:p>
      <w:pPr>
        <w:ind w:firstLine="560" w:firstLineChars="200"/>
        <w:rPr>
          <w:rFonts w:hint="eastAsia" w:ascii="宋体" w:hAnsi="宋体" w:eastAsia="宋体" w:cs="Times New Roman"/>
          <w:sz w:val="28"/>
          <w:szCs w:val="28"/>
        </w:rPr>
      </w:pPr>
      <w:r>
        <w:rPr>
          <w:rFonts w:hint="eastAsia" w:ascii="宋体" w:hAnsi="宋体" w:eastAsia="宋体" w:cs="Times New Roman"/>
          <w:sz w:val="28"/>
          <w:szCs w:val="28"/>
          <w:lang w:val="en-US" w:eastAsia="zh-CN"/>
        </w:rPr>
        <w:t>2020年春季开学以来</w:t>
      </w:r>
      <w:r>
        <w:rPr>
          <w:rFonts w:hint="eastAsia" w:ascii="宋体" w:hAnsi="宋体" w:eastAsia="宋体" w:cs="Times New Roman"/>
          <w:sz w:val="28"/>
          <w:szCs w:val="28"/>
        </w:rPr>
        <w:t>学校</w:t>
      </w:r>
      <w:r>
        <w:rPr>
          <w:rFonts w:hint="eastAsia" w:ascii="宋体" w:hAnsi="宋体" w:eastAsia="宋体" w:cs="Times New Roman"/>
          <w:sz w:val="28"/>
          <w:szCs w:val="28"/>
          <w:lang w:val="en-US" w:eastAsia="zh-CN"/>
        </w:rPr>
        <w:t>累计</w:t>
      </w:r>
      <w:r>
        <w:rPr>
          <w:rFonts w:hint="eastAsia" w:ascii="宋体" w:hAnsi="宋体" w:eastAsia="宋体" w:cs="Times New Roman"/>
          <w:sz w:val="28"/>
          <w:szCs w:val="28"/>
        </w:rPr>
        <w:t>投</w:t>
      </w:r>
      <w:r>
        <w:rPr>
          <w:rFonts w:hint="eastAsia" w:ascii="宋体" w:hAnsi="宋体" w:eastAsia="宋体" w:cs="Times New Roman"/>
          <w:sz w:val="28"/>
          <w:szCs w:val="28"/>
          <w:lang w:val="en-US" w:eastAsia="zh-CN"/>
        </w:rPr>
        <w:t>入四十多</w:t>
      </w:r>
      <w:r>
        <w:rPr>
          <w:rFonts w:hint="eastAsia" w:ascii="宋体" w:hAnsi="宋体" w:eastAsia="宋体" w:cs="Times New Roman"/>
          <w:sz w:val="28"/>
          <w:szCs w:val="28"/>
        </w:rPr>
        <w:t>万元，</w:t>
      </w:r>
      <w:r>
        <w:rPr>
          <w:rFonts w:hint="eastAsia" w:ascii="宋体" w:hAnsi="宋体" w:eastAsia="宋体" w:cs="Times New Roman"/>
          <w:sz w:val="28"/>
          <w:szCs w:val="28"/>
          <w:lang w:val="en-US" w:eastAsia="zh-CN"/>
        </w:rPr>
        <w:t>改善校园文化、维修教学楼卫生间、更换</w:t>
      </w:r>
      <w:r>
        <w:rPr>
          <w:rFonts w:hint="eastAsia" w:ascii="宋体" w:hAnsi="宋体" w:eastAsia="宋体" w:cs="Times New Roman"/>
          <w:sz w:val="28"/>
          <w:szCs w:val="28"/>
        </w:rPr>
        <w:t>教室</w:t>
      </w:r>
      <w:r>
        <w:rPr>
          <w:rFonts w:hint="eastAsia" w:ascii="宋体" w:hAnsi="宋体" w:eastAsia="宋体" w:cs="Times New Roman"/>
          <w:sz w:val="28"/>
          <w:szCs w:val="28"/>
          <w:lang w:val="en-US" w:eastAsia="zh-CN"/>
        </w:rPr>
        <w:t>地板、维修</w:t>
      </w:r>
      <w:r>
        <w:rPr>
          <w:rFonts w:hint="eastAsia" w:ascii="宋体" w:hAnsi="宋体" w:eastAsia="宋体" w:cs="Times New Roman"/>
          <w:sz w:val="28"/>
          <w:szCs w:val="28"/>
        </w:rPr>
        <w:t>学生餐厅及更换灶具设备，绿化美化校园，增添教师办公设施等，为提高教育教学质量，打下了</w:t>
      </w:r>
      <w:r>
        <w:rPr>
          <w:rFonts w:hint="eastAsia" w:ascii="宋体" w:hAnsi="宋体" w:eastAsia="宋体" w:cs="Times New Roman"/>
          <w:sz w:val="28"/>
          <w:szCs w:val="28"/>
          <w:lang w:val="en-US" w:eastAsia="zh-CN"/>
        </w:rPr>
        <w:t>坚实</w:t>
      </w:r>
      <w:r>
        <w:rPr>
          <w:rFonts w:hint="eastAsia" w:ascii="宋体" w:hAnsi="宋体" w:eastAsia="宋体" w:cs="Times New Roman"/>
          <w:sz w:val="28"/>
          <w:szCs w:val="28"/>
        </w:rPr>
        <w:t>的物质基础。年初疫情严重,按上级部门要求做好寒假期间及开学前的</w:t>
      </w:r>
      <w:r>
        <w:rPr>
          <w:rFonts w:hint="eastAsia" w:ascii="宋体" w:hAnsi="宋体" w:eastAsia="宋体" w:cs="Times New Roman"/>
          <w:sz w:val="28"/>
          <w:szCs w:val="28"/>
          <w:lang w:val="en-US" w:eastAsia="zh-CN"/>
        </w:rPr>
        <w:t>防疫</w:t>
      </w:r>
      <w:r>
        <w:rPr>
          <w:rFonts w:hint="eastAsia" w:ascii="宋体" w:hAnsi="宋体" w:eastAsia="宋体" w:cs="Times New Roman"/>
          <w:sz w:val="28"/>
          <w:szCs w:val="28"/>
        </w:rPr>
        <w:t>物资采购及校园消杀工作、主要包括校门口人脸测温系统安装调试、寝室人脸测温系统安装调试、教室消毒喷雾机、隔离室改建、口罩、洗手液、消毒剂采购</w:t>
      </w:r>
      <w:r>
        <w:rPr>
          <w:rFonts w:hint="eastAsia" w:ascii="宋体" w:hAnsi="宋体" w:eastAsia="宋体" w:cs="Times New Roman"/>
          <w:sz w:val="28"/>
          <w:szCs w:val="28"/>
          <w:lang w:val="en-US" w:eastAsia="zh-CN"/>
        </w:rPr>
        <w:t>等</w:t>
      </w:r>
      <w:r>
        <w:rPr>
          <w:rFonts w:hint="eastAsia" w:ascii="宋体" w:hAnsi="宋体" w:eastAsia="宋体" w:cs="Times New Roman"/>
          <w:sz w:val="28"/>
          <w:szCs w:val="28"/>
        </w:rPr>
        <w:t>。</w:t>
      </w:r>
    </w:p>
    <w:p>
      <w:pPr>
        <w:ind w:firstLine="560" w:firstLineChars="200"/>
        <w:rPr>
          <w:rFonts w:ascii="宋体" w:hAnsi="宋体" w:eastAsia="宋体" w:cs="Times New Roman"/>
          <w:sz w:val="28"/>
          <w:szCs w:val="28"/>
        </w:rPr>
      </w:pPr>
      <w:r>
        <w:rPr>
          <w:rFonts w:ascii="宋体" w:hAnsi="宋体" w:eastAsia="宋体" w:cs="Times New Roman"/>
          <w:sz w:val="28"/>
          <w:szCs w:val="28"/>
        </w:rPr>
        <w:t>3.4.5</w:t>
      </w:r>
      <w:r>
        <w:rPr>
          <w:rFonts w:hint="eastAsia" w:ascii="宋体" w:hAnsi="宋体" w:eastAsia="宋体" w:cs="Times New Roman"/>
          <w:sz w:val="28"/>
          <w:szCs w:val="28"/>
        </w:rPr>
        <w:t>安全管理</w:t>
      </w:r>
    </w:p>
    <w:p>
      <w:pPr>
        <w:ind w:firstLine="560" w:firstLineChars="200"/>
        <w:rPr>
          <w:rFonts w:hint="eastAsia" w:ascii="宋体" w:hAnsi="宋体" w:eastAsia="宋体" w:cs="Times New Roman"/>
          <w:sz w:val="28"/>
          <w:szCs w:val="28"/>
        </w:rPr>
      </w:pPr>
      <w:r>
        <w:rPr>
          <w:rFonts w:hint="eastAsia" w:ascii="宋体" w:hAnsi="宋体" w:eastAsia="宋体" w:cs="Times New Roman"/>
          <w:sz w:val="28"/>
          <w:szCs w:val="28"/>
          <w:lang w:eastAsia="zh-CN"/>
        </w:rPr>
        <w:t>我校不断</w:t>
      </w:r>
      <w:r>
        <w:rPr>
          <w:rFonts w:hint="eastAsia" w:ascii="宋体" w:hAnsi="宋体" w:eastAsia="宋体" w:cs="Times New Roman"/>
          <w:sz w:val="28"/>
          <w:szCs w:val="28"/>
        </w:rPr>
        <w:t>完善各项安全规章制度，并根据安全保卫工作</w:t>
      </w:r>
      <w:r>
        <w:rPr>
          <w:rFonts w:hint="eastAsia" w:ascii="宋体" w:hAnsi="宋体" w:eastAsia="宋体" w:cs="Times New Roman"/>
          <w:sz w:val="28"/>
          <w:szCs w:val="28"/>
          <w:lang w:eastAsia="zh-CN"/>
        </w:rPr>
        <w:t>新</w:t>
      </w:r>
      <w:r>
        <w:rPr>
          <w:rFonts w:hint="eastAsia" w:ascii="宋体" w:hAnsi="宋体" w:eastAsia="宋体" w:cs="Times New Roman"/>
          <w:sz w:val="28"/>
          <w:szCs w:val="28"/>
        </w:rPr>
        <w:t>形势的发展，不断加强充实。建立健全定期检查和日常防范相结合的安全管理制度，以及学生</w:t>
      </w:r>
      <w:r>
        <w:rPr>
          <w:rFonts w:hint="eastAsia" w:ascii="宋体" w:hAnsi="宋体" w:eastAsia="宋体" w:cs="Times New Roman"/>
          <w:sz w:val="28"/>
          <w:szCs w:val="28"/>
          <w:lang w:eastAsia="zh-CN"/>
        </w:rPr>
        <w:t>安全</w:t>
      </w:r>
      <w:r>
        <w:rPr>
          <w:rFonts w:hint="eastAsia" w:ascii="宋体" w:hAnsi="宋体" w:eastAsia="宋体" w:cs="Times New Roman"/>
          <w:sz w:val="28"/>
          <w:szCs w:val="28"/>
        </w:rPr>
        <w:t>管理、门卫值班、巡逻值班、防火防灾、食品卫生</w:t>
      </w:r>
      <w:r>
        <w:rPr>
          <w:rFonts w:hint="eastAsia" w:ascii="宋体" w:hAnsi="宋体" w:eastAsia="宋体" w:cs="Times New Roman"/>
          <w:sz w:val="28"/>
          <w:szCs w:val="28"/>
          <w:lang w:eastAsia="zh-CN"/>
        </w:rPr>
        <w:t>安全</w:t>
      </w:r>
      <w:r>
        <w:rPr>
          <w:rFonts w:hint="eastAsia" w:ascii="宋体" w:hAnsi="宋体" w:eastAsia="宋体" w:cs="Times New Roman"/>
          <w:sz w:val="28"/>
          <w:szCs w:val="28"/>
        </w:rPr>
        <w:t>管理、防火安全管理、</w:t>
      </w:r>
      <w:r>
        <w:rPr>
          <w:rFonts w:hint="eastAsia" w:ascii="宋体" w:hAnsi="宋体" w:eastAsia="宋体" w:cs="Times New Roman"/>
          <w:sz w:val="28"/>
          <w:szCs w:val="28"/>
          <w:lang w:eastAsia="zh-CN"/>
        </w:rPr>
        <w:t>消防</w:t>
      </w:r>
      <w:r>
        <w:rPr>
          <w:rFonts w:hint="eastAsia" w:ascii="宋体" w:hAnsi="宋体" w:eastAsia="宋体" w:cs="Times New Roman"/>
          <w:sz w:val="28"/>
          <w:szCs w:val="28"/>
        </w:rPr>
        <w:t>器材检查等规章制度。对涉及学校安全保卫的各项工作，都做到有章可循，违章必究</w:t>
      </w:r>
      <w:r>
        <w:rPr>
          <w:rFonts w:hint="eastAsia" w:ascii="宋体" w:hAnsi="宋体" w:eastAsia="宋体" w:cs="Times New Roman"/>
          <w:sz w:val="28"/>
          <w:szCs w:val="28"/>
          <w:lang w:eastAsia="zh-CN"/>
        </w:rPr>
        <w:t>。</w:t>
      </w:r>
      <w:r>
        <w:rPr>
          <w:rFonts w:hint="eastAsia" w:ascii="宋体" w:hAnsi="宋体" w:eastAsia="宋体" w:cs="Times New Roman"/>
          <w:sz w:val="28"/>
          <w:szCs w:val="28"/>
        </w:rPr>
        <w:t>根据实际状况，制定并完善了各类安全事故应急处理预案，对现场指挥、协调联络、后勤保障、事故调查、抢救等职责进行分工，做到分工明确，处理快速、合理。并对可能发生的重特大火灾事故、重特大自然灾害事故的处理提出了具体的操作流程及应对措施。每学期至少进行</w:t>
      </w:r>
      <w:r>
        <w:rPr>
          <w:rFonts w:hint="eastAsia" w:ascii="宋体" w:hAnsi="宋体" w:eastAsia="宋体" w:cs="Times New Roman"/>
          <w:sz w:val="28"/>
          <w:szCs w:val="28"/>
          <w:lang w:eastAsia="zh-CN"/>
        </w:rPr>
        <w:t>一次应急</w:t>
      </w:r>
      <w:r>
        <w:rPr>
          <w:rFonts w:hint="eastAsia" w:ascii="宋体" w:hAnsi="宋体" w:eastAsia="宋体" w:cs="Times New Roman"/>
          <w:sz w:val="28"/>
          <w:szCs w:val="28"/>
        </w:rPr>
        <w:t>疏散预演</w:t>
      </w:r>
      <w:r>
        <w:rPr>
          <w:rFonts w:hint="eastAsia" w:ascii="宋体" w:hAnsi="宋体" w:eastAsia="宋体" w:cs="Times New Roman"/>
          <w:sz w:val="28"/>
          <w:szCs w:val="28"/>
          <w:lang w:eastAsia="zh-CN"/>
        </w:rPr>
        <w:t>及消防防火知识培训</w:t>
      </w:r>
      <w:r>
        <w:rPr>
          <w:rFonts w:hint="eastAsia" w:ascii="宋体" w:hAnsi="宋体" w:eastAsia="宋体" w:cs="Times New Roman"/>
          <w:sz w:val="28"/>
          <w:szCs w:val="28"/>
        </w:rPr>
        <w:t>，收到良好的效果，为预防突发事件紧急疏散奠定基础。</w:t>
      </w:r>
      <w:r>
        <w:rPr>
          <w:rFonts w:hint="eastAsia" w:ascii="宋体" w:hAnsi="宋体" w:eastAsia="宋体" w:cs="Times New Roman"/>
          <w:sz w:val="28"/>
          <w:szCs w:val="28"/>
          <w:lang w:eastAsia="zh-CN"/>
        </w:rPr>
        <w:t>进一步</w:t>
      </w:r>
      <w:r>
        <w:rPr>
          <w:rFonts w:hint="eastAsia" w:ascii="宋体" w:hAnsi="宋体" w:eastAsia="宋体" w:cs="Times New Roman"/>
          <w:sz w:val="28"/>
          <w:szCs w:val="28"/>
        </w:rPr>
        <w:t>加强教学实习实训监督，</w:t>
      </w:r>
      <w:r>
        <w:rPr>
          <w:rFonts w:hint="eastAsia" w:ascii="宋体" w:hAnsi="宋体" w:eastAsia="宋体" w:cs="Times New Roman"/>
          <w:sz w:val="28"/>
          <w:szCs w:val="28"/>
          <w:lang w:eastAsia="zh-CN"/>
        </w:rPr>
        <w:t>我校非常重视学生实习安全和权益保障问题，实习前学校要对每一位实习学生进行实习安全保险，使学生得到更好的安全保障和保险服务，做到学校满意、企业满意、学生满意、家长满意，</w:t>
      </w:r>
      <w:r>
        <w:rPr>
          <w:rFonts w:hint="eastAsia" w:ascii="宋体" w:hAnsi="宋体" w:eastAsia="宋体" w:cs="Times New Roman"/>
          <w:sz w:val="28"/>
          <w:szCs w:val="28"/>
        </w:rPr>
        <w:t>确保校园和谐稳定和实习实训安全。</w:t>
      </w:r>
    </w:p>
    <w:p>
      <w:pPr>
        <w:ind w:firstLine="640" w:firstLineChars="200"/>
        <w:rPr>
          <w:rFonts w:hint="eastAsia" w:ascii="宋体" w:hAnsi="宋体" w:eastAsia="宋体" w:cs="宋体"/>
        </w:rPr>
      </w:pPr>
    </w:p>
    <w:p>
      <w:pPr>
        <w:jc w:val="center"/>
        <w:rPr>
          <w:rFonts w:hint="eastAsia" w:ascii="宋体" w:hAnsi="宋体" w:eastAsia="宋体" w:cs="Times New Roman"/>
          <w:sz w:val="28"/>
          <w:szCs w:val="28"/>
          <w:lang w:eastAsia="zh-CN"/>
        </w:rPr>
      </w:pPr>
      <w:r>
        <w:rPr>
          <w:rFonts w:hint="eastAsia" w:ascii="宋体" w:hAnsi="宋体" w:eastAsia="宋体" w:cs="Times New Roman"/>
          <w:sz w:val="28"/>
          <w:szCs w:val="28"/>
          <w:lang w:eastAsia="zh-CN"/>
        </w:rPr>
        <w:drawing>
          <wp:inline distT="0" distB="0" distL="114300" distR="114300">
            <wp:extent cx="4824730" cy="2688590"/>
            <wp:effectExtent l="0" t="0" r="6350" b="8890"/>
            <wp:docPr id="28" name="图片 28" descr="DSC_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SC_2319"/>
                    <pic:cNvPicPr>
                      <a:picLocks noChangeAspect="1"/>
                    </pic:cNvPicPr>
                  </pic:nvPicPr>
                  <pic:blipFill>
                    <a:blip r:embed="rId15"/>
                    <a:stretch>
                      <a:fillRect/>
                    </a:stretch>
                  </pic:blipFill>
                  <pic:spPr>
                    <a:xfrm>
                      <a:off x="0" y="0"/>
                      <a:ext cx="4824730" cy="2688590"/>
                    </a:xfrm>
                    <a:prstGeom prst="rect">
                      <a:avLst/>
                    </a:prstGeom>
                  </pic:spPr>
                </pic:pic>
              </a:graphicData>
            </a:graphic>
          </wp:inline>
        </w:drawing>
      </w:r>
    </w:p>
    <w:p>
      <w:pPr>
        <w:jc w:val="center"/>
        <w:rPr>
          <w:rFonts w:ascii="宋体" w:hAnsi="宋体" w:eastAsia="宋体" w:cs="Times New Roman"/>
          <w:b/>
          <w:bCs/>
          <w:sz w:val="28"/>
          <w:szCs w:val="28"/>
        </w:rPr>
      </w:pPr>
      <w:r>
        <w:rPr>
          <w:rFonts w:hint="eastAsia" w:ascii="宋体" w:hAnsi="宋体" w:eastAsia="宋体" w:cs="宋体"/>
          <w:b/>
          <w:bCs/>
          <w:color w:val="222222"/>
          <w:sz w:val="28"/>
          <w:szCs w:val="28"/>
          <w:shd w:val="clear" w:color="auto" w:fill="FFFFFF"/>
        </w:rPr>
        <w:t>消防应急疏散演练活动</w:t>
      </w:r>
    </w:p>
    <w:p>
      <w:pPr>
        <w:ind w:firstLine="560" w:firstLineChars="200"/>
        <w:rPr>
          <w:rFonts w:ascii="宋体" w:hAnsi="宋体" w:eastAsia="宋体" w:cs="Times New Roman"/>
          <w:sz w:val="28"/>
          <w:szCs w:val="28"/>
        </w:rPr>
      </w:pPr>
      <w:r>
        <w:rPr>
          <w:rFonts w:ascii="宋体" w:hAnsi="宋体" w:eastAsia="宋体" w:cs="宋体"/>
          <w:sz w:val="28"/>
          <w:szCs w:val="28"/>
        </w:rPr>
        <w:t>3.4.6</w:t>
      </w:r>
      <w:r>
        <w:rPr>
          <w:rFonts w:hint="eastAsia" w:ascii="宋体" w:hAnsi="宋体" w:eastAsia="宋体" w:cs="宋体"/>
          <w:sz w:val="28"/>
          <w:szCs w:val="28"/>
        </w:rPr>
        <w:t>科研管理和管理队伍情况</w:t>
      </w:r>
    </w:p>
    <w:p>
      <w:pPr>
        <w:ind w:firstLine="560" w:firstLineChars="200"/>
        <w:rPr>
          <w:rFonts w:hint="eastAsia" w:ascii="宋体" w:hAnsi="宋体" w:eastAsia="宋体" w:cs="宋体"/>
          <w:sz w:val="28"/>
          <w:szCs w:val="28"/>
        </w:rPr>
      </w:pPr>
      <w:r>
        <w:rPr>
          <w:rFonts w:hint="eastAsia" w:ascii="宋体" w:hAnsi="宋体" w:eastAsia="宋体" w:cs="宋体"/>
          <w:sz w:val="28"/>
          <w:szCs w:val="28"/>
        </w:rPr>
        <w:t>学校制定了教师教科研管理制度，</w:t>
      </w:r>
      <w:r>
        <w:rPr>
          <w:rFonts w:hint="eastAsia" w:ascii="宋体" w:hAnsi="宋体" w:eastAsia="宋体" w:cs="宋体"/>
          <w:kern w:val="0"/>
          <w:sz w:val="28"/>
          <w:szCs w:val="28"/>
        </w:rPr>
        <w:t>开展继续培训等教育，积极参加国家级、省级教师培训；</w:t>
      </w:r>
      <w:r>
        <w:rPr>
          <w:rFonts w:hint="eastAsia" w:ascii="宋体" w:hAnsi="宋体" w:eastAsia="宋体" w:cs="宋体"/>
          <w:sz w:val="28"/>
          <w:szCs w:val="28"/>
        </w:rPr>
        <w:t>制定教研活动计划并组织实施，支持教师参加各级优质课、教案、论文评比及课题研究工作。</w:t>
      </w:r>
      <w:r>
        <w:rPr>
          <w:rFonts w:ascii="宋体" w:hAnsi="宋体" w:eastAsia="宋体" w:cs="宋体"/>
          <w:sz w:val="28"/>
          <w:szCs w:val="28"/>
        </w:rPr>
        <w:t>201</w:t>
      </w:r>
      <w:r>
        <w:rPr>
          <w:rFonts w:hint="eastAsia" w:ascii="宋体" w:hAnsi="宋体" w:eastAsia="宋体" w:cs="宋体"/>
          <w:sz w:val="28"/>
          <w:szCs w:val="28"/>
          <w:lang w:val="en-US" w:eastAsia="zh-CN"/>
        </w:rPr>
        <w:t>8</w:t>
      </w:r>
      <w:r>
        <w:rPr>
          <w:rFonts w:hint="eastAsia" w:ascii="宋体" w:hAnsi="宋体" w:eastAsia="宋体" w:cs="宋体"/>
          <w:sz w:val="28"/>
          <w:szCs w:val="28"/>
        </w:rPr>
        <w:t>年</w:t>
      </w:r>
      <w:r>
        <w:rPr>
          <w:rFonts w:ascii="宋体" w:hAnsi="宋体" w:eastAsia="宋体" w:cs="宋体"/>
          <w:sz w:val="28"/>
          <w:szCs w:val="28"/>
        </w:rPr>
        <w:t>5</w:t>
      </w:r>
      <w:r>
        <w:rPr>
          <w:rFonts w:hint="eastAsia" w:ascii="宋体" w:hAnsi="宋体" w:eastAsia="宋体" w:cs="宋体"/>
          <w:sz w:val="28"/>
          <w:szCs w:val="28"/>
        </w:rPr>
        <w:t>个课题参加国土资源职教研究会的立项，</w:t>
      </w:r>
      <w:r>
        <w:rPr>
          <w:rFonts w:ascii="宋体" w:hAnsi="宋体" w:eastAsia="宋体" w:cs="宋体"/>
          <w:sz w:val="28"/>
          <w:szCs w:val="28"/>
        </w:rPr>
        <w:t>201</w:t>
      </w:r>
      <w:r>
        <w:rPr>
          <w:rFonts w:hint="eastAsia" w:ascii="宋体" w:hAnsi="宋体" w:eastAsia="宋体" w:cs="宋体"/>
          <w:sz w:val="28"/>
          <w:szCs w:val="28"/>
          <w:lang w:val="en-US" w:eastAsia="zh-CN"/>
        </w:rPr>
        <w:t>9下半</w:t>
      </w:r>
      <w:r>
        <w:rPr>
          <w:rFonts w:hint="eastAsia" w:ascii="宋体" w:hAnsi="宋体" w:eastAsia="宋体" w:cs="宋体"/>
          <w:sz w:val="28"/>
          <w:szCs w:val="28"/>
        </w:rPr>
        <w:t>年已顺利结题。</w:t>
      </w:r>
    </w:p>
    <w:p>
      <w:pPr>
        <w:ind w:firstLine="560" w:firstLineChars="200"/>
        <w:rPr>
          <w:rFonts w:hint="default" w:ascii="宋体" w:hAnsi="宋体" w:eastAsia="宋体" w:cs="宋体"/>
          <w:sz w:val="28"/>
          <w:szCs w:val="28"/>
          <w:lang w:val="en-US" w:eastAsia="zh-CN"/>
        </w:rPr>
      </w:pPr>
      <w:r>
        <w:rPr>
          <w:rFonts w:hint="default" w:ascii="宋体" w:hAnsi="宋体" w:eastAsia="宋体" w:cs="宋体"/>
          <w:sz w:val="28"/>
          <w:szCs w:val="28"/>
          <w:lang w:val="en-US" w:eastAsia="zh-CN"/>
        </w:rPr>
        <w:t>在管理队伍建设方面，学校全面贯彻党和国家的教育方针，执行上级教育行政主管部门的工作部署，完成上级下达的教育、教学和其他各项任务，坚持依法治教，大力推进职业教育。根据学校实际情况制定学校长远发展规划，从学校的办学方向、办学宗旨、办学目标、管理举措等各方面提出严密、细致、具体可行的要求，做到职责明确、制度完善。</w:t>
      </w:r>
    </w:p>
    <w:p>
      <w:pPr>
        <w:ind w:firstLine="560" w:firstLineChars="200"/>
        <w:rPr>
          <w:rFonts w:ascii="宋体" w:hAnsi="宋体" w:eastAsia="宋体" w:cs="Times New Roman"/>
          <w:sz w:val="28"/>
          <w:szCs w:val="28"/>
        </w:rPr>
      </w:pPr>
      <w:r>
        <w:rPr>
          <w:rFonts w:ascii="宋体" w:hAnsi="宋体" w:eastAsia="宋体" w:cs="宋体"/>
          <w:sz w:val="28"/>
          <w:szCs w:val="28"/>
        </w:rPr>
        <w:t>3.4.7</w:t>
      </w:r>
      <w:r>
        <w:rPr>
          <w:rFonts w:hint="eastAsia" w:ascii="宋体" w:hAnsi="宋体" w:eastAsia="宋体" w:cs="宋体"/>
          <w:sz w:val="28"/>
          <w:szCs w:val="28"/>
        </w:rPr>
        <w:t>管理信息化水平</w:t>
      </w:r>
    </w:p>
    <w:p>
      <w:pPr>
        <w:ind w:firstLine="560" w:firstLineChars="200"/>
        <w:rPr>
          <w:rFonts w:ascii="宋体" w:hAnsi="宋体" w:eastAsia="宋体" w:cs="Times New Roman"/>
          <w:sz w:val="28"/>
          <w:szCs w:val="28"/>
        </w:rPr>
      </w:pPr>
      <w:r>
        <w:rPr>
          <w:rFonts w:hint="eastAsia" w:ascii="宋体" w:hAnsi="宋体" w:eastAsia="宋体" w:cs="宋体"/>
          <w:sz w:val="28"/>
          <w:szCs w:val="28"/>
        </w:rPr>
        <w:t>校园网采用中国移动光纤接入，带宽为</w:t>
      </w:r>
      <w:r>
        <w:rPr>
          <w:rFonts w:ascii="宋体" w:hAnsi="宋体" w:eastAsia="宋体" w:cs="宋体"/>
          <w:sz w:val="28"/>
          <w:szCs w:val="28"/>
        </w:rPr>
        <w:t>200M</w:t>
      </w:r>
      <w:r>
        <w:rPr>
          <w:rFonts w:hint="eastAsia" w:ascii="宋体" w:hAnsi="宋体" w:eastAsia="宋体" w:cs="宋体"/>
          <w:sz w:val="28"/>
          <w:szCs w:val="28"/>
        </w:rPr>
        <w:t>。两个路由器：中兴</w:t>
      </w:r>
      <w:r>
        <w:rPr>
          <w:rFonts w:ascii="宋体" w:hAnsi="宋体" w:eastAsia="宋体" w:cs="宋体"/>
          <w:sz w:val="28"/>
          <w:szCs w:val="28"/>
        </w:rPr>
        <w:t>ZXA10</w:t>
      </w:r>
      <w:r>
        <w:rPr>
          <w:rFonts w:hint="eastAsia" w:ascii="宋体" w:hAnsi="宋体" w:eastAsia="宋体" w:cs="宋体"/>
          <w:sz w:val="28"/>
          <w:szCs w:val="28"/>
          <w:lang w:val="en-US" w:eastAsia="zh-CN"/>
        </w:rPr>
        <w:t xml:space="preserve"> </w:t>
      </w:r>
      <w:r>
        <w:rPr>
          <w:rFonts w:ascii="宋体" w:hAnsi="宋体" w:eastAsia="宋体" w:cs="宋体"/>
          <w:sz w:val="28"/>
          <w:szCs w:val="28"/>
        </w:rPr>
        <w:t>F820</w:t>
      </w:r>
      <w:r>
        <w:rPr>
          <w:rFonts w:hint="eastAsia" w:ascii="宋体" w:hAnsi="宋体" w:eastAsia="宋体" w:cs="宋体"/>
          <w:sz w:val="28"/>
          <w:szCs w:val="28"/>
        </w:rPr>
        <w:t>和</w:t>
      </w:r>
      <w:r>
        <w:rPr>
          <w:rFonts w:ascii="宋体" w:hAnsi="宋体" w:eastAsia="宋体" w:cs="宋体"/>
          <w:sz w:val="28"/>
          <w:szCs w:val="28"/>
        </w:rPr>
        <w:t>D-Link DI-730</w:t>
      </w:r>
      <w:r>
        <w:rPr>
          <w:rFonts w:hint="eastAsia" w:ascii="宋体" w:hAnsi="宋体" w:eastAsia="宋体" w:cs="宋体"/>
          <w:sz w:val="28"/>
          <w:szCs w:val="28"/>
        </w:rPr>
        <w:t>。</w:t>
      </w:r>
      <w:r>
        <w:rPr>
          <w:rFonts w:ascii="宋体" w:hAnsi="宋体" w:eastAsia="宋体" w:cs="宋体"/>
          <w:sz w:val="28"/>
          <w:szCs w:val="28"/>
        </w:rPr>
        <w:t>15</w:t>
      </w:r>
      <w:r>
        <w:rPr>
          <w:rFonts w:hint="eastAsia" w:ascii="宋体" w:hAnsi="宋体" w:eastAsia="宋体" w:cs="宋体"/>
          <w:sz w:val="28"/>
          <w:szCs w:val="28"/>
        </w:rPr>
        <w:t>台交换机</w:t>
      </w:r>
      <w:r>
        <w:rPr>
          <w:rFonts w:ascii="宋体" w:hAnsi="宋体" w:eastAsia="宋体" w:cs="宋体"/>
          <w:sz w:val="28"/>
          <w:szCs w:val="28"/>
        </w:rPr>
        <w:t>TP-LINK SF1024S</w:t>
      </w:r>
      <w:r>
        <w:rPr>
          <w:rFonts w:hint="eastAsia" w:ascii="宋体" w:hAnsi="宋体" w:eastAsia="宋体" w:cs="宋体"/>
          <w:sz w:val="28"/>
          <w:szCs w:val="28"/>
        </w:rPr>
        <w:t>实现教学和办公所有区域的网络覆盖，保证提供了高带宽可靠稳定的网络应用环境。校园网提供校内新闻发布、招生信息、就业培训信息、教学教研信息、毕业生风采等，是我校对外宣传的重要窗口；考勤系统采用视频识别设备，数据统计方便、准确；办公提倡无纸化，节约能源，效率高</w:t>
      </w:r>
      <w:r>
        <w:rPr>
          <w:rFonts w:hint="eastAsia" w:ascii="宋体" w:hAnsi="宋体" w:eastAsia="宋体" w:cs="宋体"/>
          <w:sz w:val="28"/>
          <w:szCs w:val="28"/>
          <w:lang w:eastAsia="zh-CN"/>
        </w:rPr>
        <w:t>；</w:t>
      </w:r>
      <w:r>
        <w:rPr>
          <w:rFonts w:hint="eastAsia" w:ascii="宋体" w:hAnsi="宋体" w:eastAsia="宋体" w:cs="宋体"/>
          <w:sz w:val="28"/>
          <w:szCs w:val="28"/>
        </w:rPr>
        <w:t>财务、人事管理采用专门的管理系统软件；学校使用企业微信管理职工考勤、设备维修、出差等事宜；校园内部信息的通知采用</w:t>
      </w:r>
      <w:r>
        <w:rPr>
          <w:rFonts w:ascii="宋体" w:hAnsi="宋体" w:eastAsia="宋体" w:cs="宋体"/>
          <w:sz w:val="28"/>
          <w:szCs w:val="28"/>
        </w:rPr>
        <w:t>QQ</w:t>
      </w:r>
      <w:r>
        <w:rPr>
          <w:rFonts w:hint="eastAsia" w:ascii="宋体" w:hAnsi="宋体" w:eastAsia="宋体" w:cs="宋体"/>
          <w:sz w:val="28"/>
          <w:szCs w:val="28"/>
        </w:rPr>
        <w:t>群</w:t>
      </w:r>
      <w:r>
        <w:rPr>
          <w:rFonts w:hint="eastAsia" w:ascii="宋体" w:hAnsi="宋体" w:eastAsia="宋体" w:cs="宋体"/>
          <w:sz w:val="28"/>
          <w:szCs w:val="28"/>
          <w:lang w:eastAsia="zh-CN"/>
        </w:rPr>
        <w:t>、</w:t>
      </w:r>
      <w:r>
        <w:rPr>
          <w:rFonts w:hint="eastAsia" w:ascii="宋体" w:hAnsi="宋体" w:eastAsia="宋体" w:cs="宋体"/>
          <w:sz w:val="28"/>
          <w:szCs w:val="28"/>
        </w:rPr>
        <w:t>微信群</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钉钉群，</w:t>
      </w:r>
      <w:r>
        <w:rPr>
          <w:rFonts w:hint="eastAsia" w:ascii="宋体" w:hAnsi="宋体" w:eastAsia="宋体" w:cs="宋体"/>
          <w:sz w:val="28"/>
          <w:szCs w:val="28"/>
        </w:rPr>
        <w:t>沟通及时。</w:t>
      </w:r>
    </w:p>
    <w:p>
      <w:pPr>
        <w:pStyle w:val="3"/>
        <w:spacing w:before="0" w:after="0" w:line="240" w:lineRule="auto"/>
        <w:ind w:firstLine="560" w:firstLineChars="200"/>
        <w:rPr>
          <w:rFonts w:ascii="宋体" w:hAnsi="宋体" w:eastAsia="宋体" w:cs="Times New Roman"/>
          <w:b w:val="0"/>
          <w:bCs w:val="0"/>
          <w:color w:val="auto"/>
          <w:sz w:val="28"/>
          <w:szCs w:val="28"/>
        </w:rPr>
      </w:pPr>
      <w:bookmarkStart w:id="25" w:name="_Toc34123284"/>
      <w:r>
        <w:rPr>
          <w:rFonts w:ascii="宋体" w:hAnsi="宋体" w:eastAsia="宋体" w:cs="宋体"/>
          <w:b w:val="0"/>
          <w:bCs w:val="0"/>
          <w:color w:val="auto"/>
          <w:sz w:val="28"/>
          <w:szCs w:val="28"/>
        </w:rPr>
        <w:t>3.5</w:t>
      </w:r>
      <w:r>
        <w:rPr>
          <w:rFonts w:hint="eastAsia" w:ascii="宋体" w:hAnsi="宋体" w:eastAsia="宋体" w:cs="宋体"/>
          <w:b w:val="0"/>
          <w:bCs w:val="0"/>
          <w:color w:val="auto"/>
          <w:sz w:val="28"/>
          <w:szCs w:val="28"/>
        </w:rPr>
        <w:t>德育工作情况</w:t>
      </w:r>
      <w:bookmarkEnd w:id="25"/>
    </w:p>
    <w:p>
      <w:pPr>
        <w:ind w:firstLine="560" w:firstLineChars="200"/>
        <w:rPr>
          <w:rFonts w:ascii="宋体" w:hAnsi="宋体" w:eastAsia="宋体" w:cs="Times New Roman"/>
          <w:color w:val="auto"/>
          <w:sz w:val="28"/>
          <w:szCs w:val="28"/>
        </w:rPr>
      </w:pPr>
      <w:r>
        <w:rPr>
          <w:rFonts w:ascii="宋体" w:hAnsi="宋体" w:eastAsia="宋体" w:cs="宋体"/>
          <w:color w:val="auto"/>
          <w:sz w:val="28"/>
          <w:szCs w:val="28"/>
        </w:rPr>
        <w:t>3.5.1 </w:t>
      </w:r>
      <w:r>
        <w:rPr>
          <w:rFonts w:hint="eastAsia" w:ascii="宋体" w:hAnsi="宋体" w:eastAsia="宋体" w:cs="宋体"/>
          <w:color w:val="auto"/>
          <w:sz w:val="28"/>
          <w:szCs w:val="28"/>
        </w:rPr>
        <w:t>开设思想政治课程。学校开设了《就业指导》《职业道德与法律》等课程，对学生进行思想品德和法治教育；将德育工作融入到各门课程教学当中；每学期均开设德育主题班会活动。</w:t>
      </w:r>
    </w:p>
    <w:p>
      <w:pPr>
        <w:ind w:firstLine="560" w:firstLineChars="200"/>
        <w:rPr>
          <w:rFonts w:ascii="宋体" w:hAnsi="宋体" w:eastAsia="宋体" w:cs="Times New Roman"/>
          <w:color w:val="auto"/>
          <w:sz w:val="28"/>
          <w:szCs w:val="28"/>
        </w:rPr>
      </w:pPr>
      <w:r>
        <w:rPr>
          <w:rFonts w:ascii="宋体" w:hAnsi="宋体" w:eastAsia="宋体" w:cs="宋体"/>
          <w:color w:val="auto"/>
          <w:sz w:val="28"/>
          <w:szCs w:val="28"/>
        </w:rPr>
        <w:t>3.5.2</w:t>
      </w:r>
      <w:r>
        <w:rPr>
          <w:rFonts w:hint="eastAsia" w:ascii="宋体" w:hAnsi="宋体" w:eastAsia="宋体" w:cs="宋体"/>
          <w:color w:val="auto"/>
          <w:sz w:val="28"/>
          <w:szCs w:val="28"/>
        </w:rPr>
        <w:t>学校高度重视德育工作。按照党和国家教育方针以及省教育行政部门关于加强德育工作的政策要求，成立了以校长、党委书记任组长，</w:t>
      </w:r>
      <w:r>
        <w:rPr>
          <w:rFonts w:hint="eastAsia" w:ascii="宋体" w:hAnsi="宋体" w:eastAsia="宋体" w:cs="宋体"/>
          <w:color w:val="auto"/>
          <w:sz w:val="28"/>
          <w:szCs w:val="28"/>
          <w:lang w:val="en-US" w:eastAsia="zh-CN"/>
        </w:rPr>
        <w:t>其他</w:t>
      </w:r>
      <w:r>
        <w:rPr>
          <w:rFonts w:hint="eastAsia" w:ascii="宋体" w:hAnsi="宋体" w:eastAsia="宋体" w:cs="宋体"/>
          <w:color w:val="auto"/>
          <w:sz w:val="28"/>
          <w:szCs w:val="28"/>
        </w:rPr>
        <w:t>校领导班子成员任副组长，有关科室负责人任成员的德育工作领导小组，制定了《开展优良校风建设活动实施意见》《班主任工作暂行条例》《学生日常管理制度》《学生课堂操行量化考核办法》等一系列德育工作规章制度。领导小组结合学校实际，制订具体的德育工作计划，在工作计划的开展和落实过程中，领导小组进行具体指导与检查，确保德育目标和计划的实现。领导小组定期组织召开学校德育工作经验交流会或专题研讨会，及时研究德育工作的新情况、新问题，肯定成绩，找出不足，指明方向，不断明确德育工作要求，协调工作，形成合力，进一步提高德育工作质量。</w:t>
      </w:r>
    </w:p>
    <w:p>
      <w:pPr>
        <w:ind w:firstLine="560" w:firstLineChars="200"/>
        <w:rPr>
          <w:rFonts w:ascii="宋体" w:eastAsia="宋体" w:cs="Times New Roman"/>
          <w:color w:val="auto"/>
        </w:rPr>
      </w:pPr>
      <w:r>
        <w:rPr>
          <w:rFonts w:ascii="宋体" w:hAnsi="宋体" w:eastAsia="宋体" w:cs="宋体"/>
          <w:color w:val="auto"/>
          <w:sz w:val="28"/>
          <w:szCs w:val="28"/>
        </w:rPr>
        <w:t>3.5.3</w:t>
      </w:r>
      <w:r>
        <w:rPr>
          <w:rFonts w:hint="eastAsia" w:ascii="宋体" w:hAnsi="宋体" w:eastAsia="宋体" w:cs="宋体"/>
          <w:color w:val="auto"/>
          <w:sz w:val="28"/>
          <w:szCs w:val="28"/>
        </w:rPr>
        <w:t>建立德育工作长效机制。学生科、团委在工作中经常结合一些有意义的节假日、纪念日等，对学生进行爱国主义教育</w:t>
      </w:r>
      <w:r>
        <w:rPr>
          <w:rFonts w:hint="eastAsia" w:ascii="宋体" w:hAnsi="宋体" w:eastAsia="宋体" w:cs="宋体"/>
          <w:color w:val="auto"/>
          <w:sz w:val="28"/>
          <w:szCs w:val="28"/>
          <w:lang w:eastAsia="zh-CN"/>
        </w:rPr>
        <w:t>，</w:t>
      </w:r>
      <w:r>
        <w:rPr>
          <w:rFonts w:hint="eastAsia" w:ascii="宋体" w:hAnsi="宋体" w:eastAsia="宋体" w:cs="宋体"/>
          <w:color w:val="auto"/>
          <w:sz w:val="28"/>
          <w:szCs w:val="28"/>
        </w:rPr>
        <w:t>经常组织学生开展各种文体活动和思想教育活动，培养学生自理和自立的能力</w:t>
      </w:r>
      <w:r>
        <w:rPr>
          <w:rFonts w:hint="eastAsia" w:ascii="宋体" w:hAnsi="宋体" w:eastAsia="宋体" w:cs="宋体"/>
          <w:color w:val="auto"/>
          <w:sz w:val="28"/>
          <w:szCs w:val="28"/>
          <w:lang w:eastAsia="zh-CN"/>
        </w:rPr>
        <w:t>。</w:t>
      </w:r>
      <w:r>
        <w:rPr>
          <w:rFonts w:hint="eastAsia" w:ascii="宋体" w:hAnsi="宋体" w:eastAsia="宋体" w:cs="宋体"/>
          <w:color w:val="auto"/>
          <w:sz w:val="28"/>
          <w:szCs w:val="28"/>
        </w:rPr>
        <w:t>同时，学生科、团委指导并协助班主任抓好班级建设</w:t>
      </w:r>
      <w:r>
        <w:rPr>
          <w:rFonts w:hint="eastAsia" w:ascii="宋体" w:hAnsi="宋体" w:eastAsia="宋体" w:cs="宋体"/>
          <w:color w:val="auto"/>
          <w:sz w:val="28"/>
          <w:szCs w:val="28"/>
          <w:lang w:eastAsia="zh-CN"/>
        </w:rPr>
        <w:t>，</w:t>
      </w:r>
      <w:r>
        <w:rPr>
          <w:rFonts w:hint="eastAsia" w:ascii="宋体" w:hAnsi="宋体" w:eastAsia="宋体" w:cs="宋体"/>
          <w:color w:val="auto"/>
          <w:sz w:val="28"/>
          <w:szCs w:val="28"/>
        </w:rPr>
        <w:t>班主任抓好班委会、团支部队伍建设，经常深入班级，利用班会、团活等形式对学生进行德育教育，对加强学生思想政治工作、形成良好班风起着积极的推动作用。全校教师爱岗敬业，教书育人，为人师表，率先垂范，充分发挥教师在学校德育工作中的作用，寓德育工作于学科教学之中，在授课中引导学生树立正确的人生观、价值观，使学生在学好专业知识的同时也学会做人道理。</w:t>
      </w:r>
    </w:p>
    <w:p>
      <w:pPr>
        <w:ind w:firstLine="560" w:firstLineChars="200"/>
        <w:rPr>
          <w:rFonts w:ascii="宋体" w:hAnsi="宋体" w:eastAsia="宋体" w:cs="Times New Roman"/>
          <w:color w:val="auto"/>
          <w:sz w:val="28"/>
          <w:szCs w:val="28"/>
        </w:rPr>
      </w:pPr>
      <w:r>
        <w:rPr>
          <w:rFonts w:ascii="宋体" w:hAnsi="宋体" w:eastAsia="宋体" w:cs="宋体"/>
          <w:color w:val="auto"/>
          <w:sz w:val="28"/>
          <w:szCs w:val="28"/>
        </w:rPr>
        <w:t>3.5.4</w:t>
      </w:r>
      <w:r>
        <w:rPr>
          <w:rFonts w:hint="eastAsia" w:ascii="宋体" w:hAnsi="宋体" w:eastAsia="宋体" w:cs="宋体"/>
          <w:color w:val="auto"/>
          <w:sz w:val="28"/>
          <w:szCs w:val="28"/>
        </w:rPr>
        <w:t>重视并加强学生会干部和社团组织成员在学生德育工作中的桥梁纽带作用。学生会干部、社团组织成员是学生中的先进代表，他们在管理水平、学业成绩、专项技能等方面有突出特长，他们的言行对学生德育工作的桥梁纽带作用不容忽视。为此，学校在学生会干部的选拔任用上，坚持标准，严格把关，确保质量。学生会及社团的纳新工作采用了班主任推荐、面试、谈话、试用等流程进行选拔，做到好中选优、优中挑精，选出了一批综合能力强、素质好的学生充实到了学生会和社团组织当中。学生会干部、社团组织成员推行分级管理、量化考核的办法，并制定了《学生会干部考核制度》《学生会例会制度》《社团管理制度》等规章制度，使各项工作有章可循，有制可依。同时，采取奖励先进、鞭策落后、树立正面典型等方法，进一步锻炼和提升了他们的自我教育、自我管理、自我服务能力，形成了争先创优、比学赶帮超的良好风气，充分发挥了他们在学生德育工作中的桥梁纽带作用。</w:t>
      </w:r>
    </w:p>
    <w:p>
      <w:pPr>
        <w:ind w:firstLine="560" w:firstLineChars="200"/>
        <w:rPr>
          <w:rFonts w:ascii="宋体" w:eastAsia="宋体" w:cs="Times New Roman"/>
          <w:color w:val="auto"/>
        </w:rPr>
      </w:pPr>
      <w:r>
        <w:rPr>
          <w:rFonts w:ascii="宋体" w:hAnsi="宋体" w:eastAsia="宋体" w:cs="宋体"/>
          <w:color w:val="auto"/>
          <w:sz w:val="28"/>
          <w:szCs w:val="28"/>
        </w:rPr>
        <w:t>3.5.5</w:t>
      </w:r>
      <w:r>
        <w:rPr>
          <w:rFonts w:hint="eastAsia" w:ascii="宋体" w:hAnsi="宋体" w:eastAsia="宋体" w:cs="宋体"/>
          <w:color w:val="auto"/>
          <w:sz w:val="28"/>
          <w:szCs w:val="28"/>
        </w:rPr>
        <w:t>进一步加强校园环境建设。学校以创建文明城市建设为契机，整个校园美化、绿化、净化，校内陈设与布置合理，具有艺术性、观赏性和教育性，整个校园具有浓郁的文化气息。校园文化活动丰富多彩。开展德育主题活动、志愿服务活动等各类活动精彩纷呈，每月一主题，每周一重点，以主题引领活动，用活动渲染主题。举办篮球、羽毛球、乒乓球、排球等比赛、专业技能比赛、主题文艺汇演、校园各类棋类大赛</w:t>
      </w:r>
      <w:r>
        <w:rPr>
          <w:rFonts w:hint="eastAsia" w:ascii="宋体" w:hAnsi="宋体" w:eastAsia="宋体" w:cs="宋体"/>
          <w:color w:val="auto"/>
          <w:sz w:val="28"/>
          <w:szCs w:val="28"/>
          <w:lang w:eastAsia="zh-CN"/>
        </w:rPr>
        <w:t>，</w:t>
      </w:r>
      <w:r>
        <w:rPr>
          <w:rFonts w:hint="eastAsia" w:ascii="宋体" w:hAnsi="宋体" w:eastAsia="宋体" w:cs="宋体"/>
          <w:color w:val="auto"/>
          <w:sz w:val="28"/>
          <w:szCs w:val="28"/>
        </w:rPr>
        <w:t>举行常规管理教育月系列活动、法制教育月系列活动、入团宣誓活动。</w:t>
      </w:r>
    </w:p>
    <w:p>
      <w:pPr>
        <w:ind w:firstLine="560" w:firstLineChars="200"/>
        <w:rPr>
          <w:rFonts w:ascii="宋体" w:hAnsi="宋体" w:eastAsia="宋体" w:cs="Times New Roman"/>
          <w:color w:val="auto"/>
          <w:sz w:val="28"/>
          <w:szCs w:val="28"/>
        </w:rPr>
      </w:pPr>
      <w:r>
        <w:rPr>
          <w:rFonts w:ascii="宋体" w:hAnsi="宋体" w:eastAsia="宋体" w:cs="宋体"/>
          <w:color w:val="auto"/>
          <w:sz w:val="28"/>
          <w:szCs w:val="28"/>
        </w:rPr>
        <w:t>3.5.6</w:t>
      </w:r>
      <w:r>
        <w:rPr>
          <w:rFonts w:hint="eastAsia" w:ascii="宋体" w:hAnsi="宋体" w:eastAsia="宋体" w:cs="宋体"/>
          <w:color w:val="auto"/>
          <w:sz w:val="28"/>
          <w:szCs w:val="28"/>
        </w:rPr>
        <w:t>抓班主任队伍建设，强化班级管理。学校要求各班级开展“抓两头带中间”活动，通过细化要求，逐项训练，逐个突破，让每个学生从身边的小事做起，逐步完善人格，提高文明素养。班级日常管理分解为“宿舍、学风、纪律、卫生、出勤及三操”五项考核指标，期末先进班集体、优秀班主任的评比，主要根据该班累计分数确定，有力地促进了良好校风、班风、学风的形成。</w:t>
      </w:r>
    </w:p>
    <w:p>
      <w:pPr>
        <w:pStyle w:val="3"/>
        <w:spacing w:before="0" w:after="0" w:line="240" w:lineRule="auto"/>
        <w:ind w:firstLine="560" w:firstLineChars="200"/>
        <w:rPr>
          <w:rFonts w:ascii="宋体" w:hAnsi="宋体" w:eastAsia="宋体" w:cs="Times New Roman"/>
          <w:b w:val="0"/>
          <w:bCs w:val="0"/>
          <w:sz w:val="28"/>
          <w:szCs w:val="28"/>
        </w:rPr>
      </w:pPr>
      <w:bookmarkStart w:id="26" w:name="_Toc34123285"/>
      <w:r>
        <w:rPr>
          <w:rFonts w:ascii="宋体" w:hAnsi="宋体" w:eastAsia="宋体" w:cs="宋体"/>
          <w:b w:val="0"/>
          <w:bCs w:val="0"/>
          <w:sz w:val="28"/>
          <w:szCs w:val="28"/>
        </w:rPr>
        <w:t>3.6</w:t>
      </w:r>
      <w:r>
        <w:rPr>
          <w:rFonts w:hint="eastAsia" w:ascii="宋体" w:hAnsi="宋体" w:eastAsia="宋体" w:cs="宋体"/>
          <w:b w:val="0"/>
          <w:bCs w:val="0"/>
          <w:sz w:val="28"/>
          <w:szCs w:val="28"/>
        </w:rPr>
        <w:t>党建情况</w:t>
      </w:r>
      <w:bookmarkEnd w:id="26"/>
    </w:p>
    <w:p>
      <w:pPr>
        <w:rPr>
          <w:rFonts w:hint="eastAsia" w:ascii="宋体" w:hAnsi="宋体" w:eastAsia="宋体" w:cs="宋体"/>
          <w:sz w:val="28"/>
          <w:szCs w:val="28"/>
        </w:rPr>
      </w:pPr>
      <w:bookmarkStart w:id="27" w:name="_Toc34123286"/>
      <w:r>
        <w:rPr>
          <w:rFonts w:hint="eastAsia"/>
        </w:rPr>
        <w:t xml:space="preserve">  </w:t>
      </w:r>
      <w:r>
        <w:rPr>
          <w:rFonts w:hint="eastAsia"/>
          <w:lang w:val="en-US" w:eastAsia="zh-CN"/>
        </w:rPr>
        <w:t xml:space="preserve"> </w:t>
      </w:r>
      <w:r>
        <w:rPr>
          <w:rFonts w:hint="eastAsia" w:ascii="宋体" w:hAnsi="宋体" w:eastAsia="宋体" w:cs="宋体"/>
          <w:sz w:val="28"/>
          <w:szCs w:val="28"/>
        </w:rPr>
        <w:t>学校坚持“围绕教学抓党建，抓好党建促发展”的党建工作思路，深入学习贯彻党的十九大、十九届五中全会精神和党的教育方针,充分发挥党组织的政治核心和战斗堡垒作用,积极探索党建和教育教学工作深度融合的有效途径,推进学校党建工作不断取得新成绩。学校突出政治建设，强化党建政治责任。校党委切实履行全面从严治党主体责任，专题研究、部署党建工作，认真组织开展党员谈心谈话、支部书记述职、民主评议党员、组织生活会等活动，全面部署党风廉政建设和反腐败工作，不断推动全面从严治党走深走实，不断夯实风清气正的政治生态。聚焦思想建设，加强教育引导工作。在全校范围内推行“微党课”学习模式，出台《关于抓好学习强国学习平台推广使用激励考核办法（试行）》，增强“学习强国”学习实效。加强党建带团建，以团建促党建。强化师德师风建设，筑牢学校“立德树人、教书育人”意识形态主阵地，加强思政课教学，通过举办班会、团课、版报比赛、观看党的十九届五中全会视频、技能节唱红歌等各项活动加强学生意识形态教育。积极开展全校“融合发展大讨论”活动，围绕办学思路，强化党组织政治核心作用，积极推进党建工作与教育教学工作深度融合。加强组织建设，发挥战斗堡垒作用。严格规范落实“三会一课”、主题党日活动等党内基本制度，组织党委理论学习中心组集中学习6次、党委成员讲党课5次、《民法典》讲座1次，开展参观金上京历史博物馆、革命领袖视察黑龙江纪念馆，观看爱国主义电影《我和我的家乡》《金刚川》以及“学习强国”知识竞赛等主题党日活动9次，全面推行党员过“政治生日”活动。坚持党员标准，严格党员入口。新吸收预备党员1名，学生党员转正1名。开展庆“七一”系列主题活动。召开纪念建党99周年“先优”表彰大会，通过开展评先选优及表彰活动、讲专题党课、举办演讲比赛、征文比赛等形式，有效地激发了党员队伍活力。深入开展党员志愿服务及献爱心活动。积极推进党支部标准化规范化建设，以“四强六规范”作为党支部工作目标，制定下发工作方案和“三级四岗”责任清单，明确责任，强化措施，狠抓落实。加强街校共建，促进党建融合。学校与铁东街道办事处搭建了党建共建平台，学校为街道提供人普志愿者、普查机器、工作场地等资源，为街道全面、准确地开展第七次全国人口普查工作奠定了坚实的基础。完善制度建设，扎紧织密制度笼子。建立健全各项制度，进一步修订完善了党委议事规则、“三重一大”事项决策制度、财务管理、合同签订、请示报告等方面的管理制度，使各项工作有章可循。抓好作风建设，确保学校风清气正。</w:t>
      </w:r>
    </w:p>
    <w:p>
      <w:pPr>
        <w:pStyle w:val="2"/>
        <w:spacing w:before="0" w:after="0" w:line="240" w:lineRule="auto"/>
        <w:ind w:firstLine="640" w:firstLineChars="200"/>
        <w:rPr>
          <w:rFonts w:ascii="黑体" w:hAnsi="黑体" w:eastAsia="黑体" w:cs="Times New Roman"/>
          <w:b w:val="0"/>
          <w:bCs w:val="0"/>
          <w:sz w:val="32"/>
          <w:szCs w:val="32"/>
        </w:rPr>
      </w:pPr>
      <w:r>
        <w:rPr>
          <w:rFonts w:ascii="黑体" w:hAnsi="黑体" w:eastAsia="黑体" w:cs="黑体"/>
          <w:b w:val="0"/>
          <w:bCs w:val="0"/>
          <w:sz w:val="32"/>
          <w:szCs w:val="32"/>
        </w:rPr>
        <w:t>4.</w:t>
      </w:r>
      <w:r>
        <w:rPr>
          <w:rFonts w:hint="eastAsia" w:ascii="黑体" w:hAnsi="黑体" w:eastAsia="黑体" w:cs="黑体"/>
          <w:b w:val="0"/>
          <w:bCs w:val="0"/>
          <w:sz w:val="32"/>
          <w:szCs w:val="32"/>
        </w:rPr>
        <w:t>校企合作</w:t>
      </w:r>
      <w:bookmarkEnd w:id="27"/>
    </w:p>
    <w:p>
      <w:pPr>
        <w:pStyle w:val="3"/>
        <w:spacing w:before="0" w:after="0" w:line="240" w:lineRule="auto"/>
        <w:ind w:firstLine="560" w:firstLineChars="200"/>
        <w:rPr>
          <w:rFonts w:hint="eastAsia" w:ascii="宋体" w:hAnsi="宋体" w:eastAsia="宋体" w:cs="宋体"/>
          <w:b w:val="0"/>
          <w:bCs w:val="0"/>
          <w:sz w:val="28"/>
          <w:szCs w:val="28"/>
        </w:rPr>
      </w:pPr>
      <w:bookmarkStart w:id="28" w:name="_Toc34123287"/>
      <w:r>
        <w:rPr>
          <w:rFonts w:ascii="宋体" w:hAnsi="宋体" w:eastAsia="宋体" w:cs="宋体"/>
          <w:b w:val="0"/>
          <w:bCs w:val="0"/>
          <w:sz w:val="28"/>
          <w:szCs w:val="28"/>
        </w:rPr>
        <w:t>4.1</w:t>
      </w:r>
      <w:r>
        <w:rPr>
          <w:rFonts w:hint="eastAsia" w:ascii="宋体" w:hAnsi="宋体" w:eastAsia="宋体" w:cs="宋体"/>
          <w:b w:val="0"/>
          <w:bCs w:val="0"/>
          <w:sz w:val="28"/>
          <w:szCs w:val="28"/>
        </w:rPr>
        <w:t>校企合作开展情况</w:t>
      </w:r>
      <w:bookmarkEnd w:id="28"/>
    </w:p>
    <w:p>
      <w:pPr>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 xml:space="preserve">    </w:t>
      </w:r>
      <w:r>
        <w:rPr>
          <w:rFonts w:ascii="宋体" w:hAnsi="宋体" w:eastAsia="宋体" w:cs="宋体"/>
          <w:sz w:val="28"/>
          <w:szCs w:val="28"/>
        </w:rPr>
        <w:t>4.1.1</w:t>
      </w:r>
      <w:r>
        <w:rPr>
          <w:rFonts w:hint="eastAsia" w:ascii="宋体" w:hAnsi="宋体" w:eastAsia="宋体" w:cs="宋体"/>
          <w:sz w:val="28"/>
          <w:szCs w:val="28"/>
        </w:rPr>
        <w:t>校企合作原则：优势互补，资源共享，互惠互利。具体地说，一是加强校企合作，实现资源共享；二是进行产学结合，提高教育教学质量；三是坚持互惠互利，实现学校、企业、学生三方共赢利。</w:t>
      </w:r>
    </w:p>
    <w:p>
      <w:pPr>
        <w:ind w:firstLine="560" w:firstLineChars="200"/>
        <w:jc w:val="left"/>
        <w:rPr>
          <w:rFonts w:hint="eastAsia" w:ascii="宋体" w:hAnsi="宋体" w:eastAsia="宋体" w:cs="宋体"/>
          <w:sz w:val="28"/>
          <w:szCs w:val="28"/>
        </w:rPr>
      </w:pPr>
      <w:r>
        <w:rPr>
          <w:rFonts w:hint="eastAsia" w:ascii="宋体" w:hAnsi="宋体" w:eastAsia="宋体" w:cs="宋体"/>
          <w:sz w:val="28"/>
          <w:szCs w:val="28"/>
          <w:lang w:val="en-US" w:eastAsia="zh-CN"/>
        </w:rPr>
        <w:t>2019年校企合作校外实训基地18个，2020年校企合作校外实训基地7个,</w:t>
      </w: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年校企合作单位</w:t>
      </w:r>
      <w:r>
        <w:rPr>
          <w:rFonts w:hint="eastAsia" w:ascii="宋体" w:hAnsi="宋体" w:eastAsia="宋体" w:cs="宋体"/>
          <w:sz w:val="28"/>
          <w:szCs w:val="28"/>
          <w:lang w:val="en-US" w:eastAsia="zh-CN"/>
        </w:rPr>
        <w:t>6</w:t>
      </w:r>
      <w:r>
        <w:rPr>
          <w:rFonts w:hint="eastAsia" w:ascii="宋体" w:hAnsi="宋体" w:eastAsia="宋体" w:cs="宋体"/>
          <w:sz w:val="28"/>
          <w:szCs w:val="28"/>
        </w:rPr>
        <w:t>个。学校高度重视校企融合，成立了校企合作委员会，制定了《黑龙江省工程学校校企合作管理办法》。校企合作过程中学校和企业都是培养人才的主体，企业不仅参与研究和制定人才培养方案、教学计划、教学内容和培养方式，而且直接参与教学。</w:t>
      </w:r>
    </w:p>
    <w:p>
      <w:pPr>
        <w:ind w:firstLine="560" w:firstLineChars="200"/>
        <w:jc w:val="left"/>
        <w:rPr>
          <w:rFonts w:hint="eastAsia" w:ascii="宋体" w:hAnsi="宋体" w:eastAsia="宋体" w:cs="宋体"/>
          <w:sz w:val="28"/>
          <w:szCs w:val="28"/>
        </w:rPr>
      </w:pPr>
    </w:p>
    <w:p>
      <w:pPr>
        <w:ind w:firstLine="560" w:firstLineChars="200"/>
        <w:jc w:val="left"/>
        <w:rPr>
          <w:rFonts w:hint="eastAsia" w:ascii="宋体" w:hAnsi="宋体" w:eastAsia="宋体" w:cs="宋体"/>
          <w:sz w:val="28"/>
          <w:szCs w:val="28"/>
        </w:rPr>
      </w:pPr>
    </w:p>
    <w:p>
      <w:pPr>
        <w:ind w:firstLine="482" w:firstLineChars="200"/>
        <w:jc w:val="center"/>
        <w:rPr>
          <w:rFonts w:ascii="宋体" w:hAnsi="宋体" w:eastAsia="宋体" w:cs="Times New Roman"/>
          <w:sz w:val="28"/>
          <w:szCs w:val="28"/>
        </w:rPr>
      </w:pPr>
      <w:r>
        <w:rPr>
          <w:rFonts w:hint="eastAsia" w:ascii="宋体" w:hAnsi="宋体" w:eastAsia="宋体" w:cs="宋体"/>
          <w:b/>
          <w:bCs/>
          <w:color w:val="000000"/>
          <w:kern w:val="0"/>
          <w:sz w:val="24"/>
          <w:szCs w:val="24"/>
        </w:rPr>
        <w:t>表</w:t>
      </w:r>
      <w:r>
        <w:rPr>
          <w:rFonts w:hint="eastAsia" w:ascii="宋体" w:hAnsi="宋体" w:eastAsia="宋体" w:cs="宋体"/>
          <w:b/>
          <w:bCs/>
          <w:color w:val="000000"/>
          <w:kern w:val="0"/>
          <w:sz w:val="24"/>
          <w:szCs w:val="24"/>
          <w:lang w:val="en-US" w:eastAsia="zh-CN"/>
        </w:rPr>
        <w:t>4</w:t>
      </w:r>
      <w:r>
        <w:rPr>
          <w:rFonts w:hint="eastAsia" w:ascii="宋体" w:hAnsi="宋体" w:eastAsia="宋体" w:cs="宋体"/>
          <w:b/>
          <w:bCs/>
          <w:color w:val="000000"/>
          <w:kern w:val="0"/>
          <w:sz w:val="24"/>
          <w:szCs w:val="24"/>
        </w:rPr>
        <w:t>：近两学年中等职业学校校企合作基本情况一览表</w:t>
      </w:r>
    </w:p>
    <w:tbl>
      <w:tblPr>
        <w:tblStyle w:val="11"/>
        <w:tblW w:w="8364" w:type="dxa"/>
        <w:jc w:val="center"/>
        <w:tblLayout w:type="fixed"/>
        <w:tblCellMar>
          <w:top w:w="0" w:type="dxa"/>
          <w:left w:w="108" w:type="dxa"/>
          <w:bottom w:w="0" w:type="dxa"/>
          <w:right w:w="108" w:type="dxa"/>
        </w:tblCellMar>
      </w:tblPr>
      <w:tblGrid>
        <w:gridCol w:w="1560"/>
        <w:gridCol w:w="1701"/>
        <w:gridCol w:w="1701"/>
        <w:gridCol w:w="1701"/>
        <w:gridCol w:w="1701"/>
      </w:tblGrid>
      <w:tr>
        <w:tblPrEx>
          <w:tblCellMar>
            <w:top w:w="0" w:type="dxa"/>
            <w:left w:w="108" w:type="dxa"/>
            <w:bottom w:w="0" w:type="dxa"/>
            <w:right w:w="108" w:type="dxa"/>
          </w:tblCellMar>
        </w:tblPrEx>
        <w:trPr>
          <w:trHeight w:val="450" w:hRule="atLeast"/>
          <w:jc w:val="center"/>
        </w:trPr>
        <w:tc>
          <w:tcPr>
            <w:tcW w:w="156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color w:val="000000"/>
                <w:kern w:val="0"/>
                <w:sz w:val="18"/>
                <w:szCs w:val="18"/>
              </w:rPr>
            </w:pPr>
            <w:r>
              <w:rPr>
                <w:rFonts w:hint="eastAsia" w:ascii="宋体" w:hAnsi="宋体" w:eastAsia="宋体" w:cs="宋体"/>
                <w:b/>
                <w:bCs/>
                <w:color w:val="000000"/>
                <w:kern w:val="0"/>
                <w:sz w:val="18"/>
                <w:szCs w:val="18"/>
              </w:rPr>
              <w:t>学年度</w:t>
            </w:r>
          </w:p>
        </w:tc>
        <w:tc>
          <w:tcPr>
            <w:tcW w:w="1701" w:type="dxa"/>
            <w:tcBorders>
              <w:top w:val="single" w:color="auto" w:sz="4" w:space="0"/>
              <w:left w:val="nil"/>
              <w:bottom w:val="single" w:color="auto" w:sz="4" w:space="0"/>
              <w:right w:val="single" w:color="auto" w:sz="4" w:space="0"/>
            </w:tcBorders>
            <w:vAlign w:val="center"/>
          </w:tcPr>
          <w:p>
            <w:pPr>
              <w:widowControl/>
              <w:jc w:val="center"/>
              <w:rPr>
                <w:rFonts w:ascii="宋体" w:hAnsi="宋体" w:eastAsia="宋体" w:cs="Times New Roman"/>
                <w:b/>
                <w:bCs/>
                <w:color w:val="000000"/>
                <w:kern w:val="0"/>
                <w:sz w:val="18"/>
                <w:szCs w:val="18"/>
              </w:rPr>
            </w:pPr>
            <w:r>
              <w:rPr>
                <w:rFonts w:hint="eastAsia" w:ascii="宋体" w:hAnsi="宋体" w:eastAsia="宋体" w:cs="宋体"/>
                <w:b/>
                <w:bCs/>
                <w:color w:val="000000"/>
                <w:kern w:val="0"/>
                <w:sz w:val="18"/>
                <w:szCs w:val="18"/>
              </w:rPr>
              <w:t>合作企业数（个）</w:t>
            </w:r>
          </w:p>
        </w:tc>
        <w:tc>
          <w:tcPr>
            <w:tcW w:w="1701" w:type="dxa"/>
            <w:tcBorders>
              <w:top w:val="single" w:color="auto" w:sz="4" w:space="0"/>
              <w:left w:val="nil"/>
              <w:bottom w:val="single" w:color="auto" w:sz="4" w:space="0"/>
              <w:right w:val="single" w:color="auto" w:sz="4" w:space="0"/>
            </w:tcBorders>
            <w:vAlign w:val="center"/>
          </w:tcPr>
          <w:p>
            <w:pPr>
              <w:widowControl/>
              <w:jc w:val="center"/>
              <w:rPr>
                <w:rFonts w:ascii="宋体" w:hAnsi="宋体" w:eastAsia="宋体" w:cs="Times New Roman"/>
                <w:b/>
                <w:bCs/>
                <w:color w:val="000000"/>
                <w:kern w:val="0"/>
                <w:sz w:val="18"/>
                <w:szCs w:val="18"/>
              </w:rPr>
            </w:pPr>
            <w:r>
              <w:rPr>
                <w:rFonts w:hint="eastAsia" w:ascii="宋体" w:hAnsi="宋体" w:eastAsia="宋体" w:cs="宋体"/>
                <w:b/>
                <w:bCs/>
                <w:color w:val="000000"/>
                <w:kern w:val="0"/>
                <w:sz w:val="18"/>
                <w:szCs w:val="18"/>
              </w:rPr>
              <w:t>校外实习实训基地数（个）</w:t>
            </w:r>
          </w:p>
        </w:tc>
        <w:tc>
          <w:tcPr>
            <w:tcW w:w="1701" w:type="dxa"/>
            <w:tcBorders>
              <w:top w:val="single" w:color="auto" w:sz="4" w:space="0"/>
              <w:left w:val="nil"/>
              <w:bottom w:val="single" w:color="auto" w:sz="4" w:space="0"/>
              <w:right w:val="single" w:color="auto" w:sz="4" w:space="0"/>
            </w:tcBorders>
            <w:vAlign w:val="center"/>
          </w:tcPr>
          <w:p>
            <w:pPr>
              <w:widowControl/>
              <w:jc w:val="center"/>
              <w:rPr>
                <w:rFonts w:ascii="宋体" w:hAnsi="宋体" w:eastAsia="宋体" w:cs="Times New Roman"/>
                <w:b/>
                <w:bCs/>
                <w:color w:val="000000"/>
                <w:kern w:val="0"/>
                <w:sz w:val="18"/>
                <w:szCs w:val="18"/>
              </w:rPr>
            </w:pPr>
            <w:r>
              <w:rPr>
                <w:rFonts w:hint="eastAsia" w:ascii="宋体" w:hAnsi="宋体" w:eastAsia="宋体" w:cs="宋体"/>
                <w:b/>
                <w:bCs/>
                <w:color w:val="000000"/>
                <w:kern w:val="0"/>
                <w:sz w:val="18"/>
                <w:szCs w:val="18"/>
              </w:rPr>
              <w:t>接受毕业生就业数（人）</w:t>
            </w:r>
          </w:p>
        </w:tc>
        <w:tc>
          <w:tcPr>
            <w:tcW w:w="1701"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宋体" w:hAnsi="宋体" w:eastAsia="宋体" w:cs="宋体"/>
                <w:b/>
                <w:bCs/>
                <w:color w:val="000000"/>
                <w:kern w:val="0"/>
                <w:sz w:val="18"/>
                <w:szCs w:val="18"/>
              </w:rPr>
            </w:pPr>
            <w:r>
              <w:rPr>
                <w:rFonts w:hint="eastAsia" w:ascii="宋体" w:hAnsi="宋体" w:eastAsia="宋体" w:cs="宋体"/>
                <w:b/>
                <w:i w:val="0"/>
                <w:color w:val="000000"/>
                <w:kern w:val="0"/>
                <w:sz w:val="22"/>
                <w:szCs w:val="22"/>
                <w:u w:val="none"/>
                <w:lang w:val="en-US" w:eastAsia="zh-CN" w:bidi="ar"/>
              </w:rPr>
              <w:t>企业录用顶岗实习毕业生数（人）</w:t>
            </w:r>
          </w:p>
        </w:tc>
      </w:tr>
      <w:tr>
        <w:tblPrEx>
          <w:tblCellMar>
            <w:top w:w="0" w:type="dxa"/>
            <w:left w:w="108" w:type="dxa"/>
            <w:bottom w:w="0" w:type="dxa"/>
            <w:right w:w="108" w:type="dxa"/>
          </w:tblCellMar>
        </w:tblPrEx>
        <w:trPr>
          <w:trHeight w:val="270" w:hRule="atLeast"/>
          <w:jc w:val="center"/>
        </w:trPr>
        <w:tc>
          <w:tcPr>
            <w:tcW w:w="1560"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1"/>
                <w:szCs w:val="21"/>
              </w:rPr>
            </w:pPr>
            <w:r>
              <w:rPr>
                <w:rFonts w:ascii="宋体" w:hAnsi="宋体" w:eastAsia="宋体" w:cs="宋体"/>
                <w:color w:val="000000"/>
                <w:kern w:val="0"/>
                <w:sz w:val="21"/>
                <w:szCs w:val="21"/>
              </w:rPr>
              <w:t>2018</w:t>
            </w:r>
            <w:r>
              <w:rPr>
                <w:rFonts w:hint="eastAsia" w:ascii="宋体" w:hAnsi="宋体" w:eastAsia="宋体" w:cs="宋体"/>
                <w:color w:val="000000"/>
                <w:kern w:val="0"/>
                <w:sz w:val="21"/>
                <w:szCs w:val="21"/>
              </w:rPr>
              <w:t>～</w:t>
            </w:r>
            <w:r>
              <w:rPr>
                <w:rFonts w:ascii="宋体" w:hAnsi="宋体" w:eastAsia="宋体" w:cs="宋体"/>
                <w:color w:val="000000"/>
                <w:kern w:val="0"/>
                <w:sz w:val="21"/>
                <w:szCs w:val="21"/>
              </w:rPr>
              <w:t>2019</w:t>
            </w:r>
          </w:p>
        </w:tc>
        <w:tc>
          <w:tcPr>
            <w:tcW w:w="1701" w:type="dxa"/>
            <w:tcBorders>
              <w:top w:val="nil"/>
              <w:left w:val="nil"/>
              <w:bottom w:val="single" w:color="auto" w:sz="4" w:space="0"/>
              <w:right w:val="single" w:color="auto" w:sz="4" w:space="0"/>
            </w:tcBorders>
            <w:vAlign w:val="center"/>
          </w:tcPr>
          <w:p>
            <w:pPr>
              <w:widowControl/>
              <w:jc w:val="center"/>
              <w:rPr>
                <w:rFonts w:ascii="宋体" w:hAnsi="宋体" w:eastAsia="宋体" w:cs="宋体"/>
                <w:color w:val="000000"/>
                <w:kern w:val="0"/>
                <w:sz w:val="21"/>
                <w:szCs w:val="21"/>
              </w:rPr>
            </w:pPr>
            <w:r>
              <w:rPr>
                <w:rFonts w:ascii="宋体" w:hAnsi="宋体" w:eastAsia="宋体" w:cs="宋体"/>
                <w:color w:val="000000"/>
                <w:kern w:val="0"/>
                <w:sz w:val="21"/>
                <w:szCs w:val="21"/>
              </w:rPr>
              <w:t>26</w:t>
            </w:r>
          </w:p>
        </w:tc>
        <w:tc>
          <w:tcPr>
            <w:tcW w:w="1701" w:type="dxa"/>
            <w:tcBorders>
              <w:top w:val="nil"/>
              <w:left w:val="nil"/>
              <w:bottom w:val="single" w:color="auto" w:sz="4" w:space="0"/>
              <w:right w:val="single" w:color="auto" w:sz="4" w:space="0"/>
            </w:tcBorders>
            <w:vAlign w:val="center"/>
          </w:tcPr>
          <w:p>
            <w:pPr>
              <w:widowControl/>
              <w:jc w:val="center"/>
              <w:rPr>
                <w:rFonts w:ascii="宋体" w:hAnsi="宋体" w:eastAsia="宋体" w:cs="宋体"/>
                <w:color w:val="000000"/>
                <w:kern w:val="0"/>
                <w:sz w:val="21"/>
                <w:szCs w:val="21"/>
              </w:rPr>
            </w:pPr>
            <w:r>
              <w:rPr>
                <w:rFonts w:ascii="宋体" w:hAnsi="宋体" w:eastAsia="宋体" w:cs="宋体"/>
                <w:color w:val="000000"/>
                <w:kern w:val="0"/>
                <w:sz w:val="21"/>
                <w:szCs w:val="21"/>
              </w:rPr>
              <w:t>18</w:t>
            </w:r>
          </w:p>
        </w:tc>
        <w:tc>
          <w:tcPr>
            <w:tcW w:w="1701" w:type="dxa"/>
            <w:tcBorders>
              <w:top w:val="nil"/>
              <w:left w:val="nil"/>
              <w:bottom w:val="single" w:color="auto" w:sz="4" w:space="0"/>
              <w:right w:val="single" w:color="auto" w:sz="4" w:space="0"/>
            </w:tcBorders>
            <w:vAlign w:val="bottom"/>
          </w:tcPr>
          <w:p>
            <w:pPr>
              <w:widowControl/>
              <w:jc w:val="center"/>
              <w:rPr>
                <w:rFonts w:ascii="宋体" w:hAnsi="宋体" w:eastAsia="宋体" w:cs="宋体"/>
                <w:color w:val="000000"/>
                <w:kern w:val="0"/>
                <w:sz w:val="21"/>
                <w:szCs w:val="21"/>
              </w:rPr>
            </w:pPr>
            <w:r>
              <w:rPr>
                <w:rFonts w:ascii="宋体" w:hAnsi="宋体" w:eastAsia="宋体" w:cs="宋体"/>
                <w:color w:val="000000"/>
                <w:kern w:val="0"/>
                <w:sz w:val="21"/>
                <w:szCs w:val="21"/>
              </w:rPr>
              <w:t>15</w:t>
            </w:r>
          </w:p>
        </w:tc>
        <w:tc>
          <w:tcPr>
            <w:tcW w:w="1701"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eastAsia="宋体" w:cs="宋体"/>
                <w:color w:val="000000"/>
                <w:kern w:val="0"/>
                <w:sz w:val="21"/>
                <w:szCs w:val="21"/>
              </w:rPr>
            </w:pPr>
            <w:r>
              <w:rPr>
                <w:rFonts w:hint="eastAsia" w:ascii="宋体" w:hAnsi="宋体" w:eastAsia="宋体" w:cs="宋体"/>
                <w:i w:val="0"/>
                <w:color w:val="000000"/>
                <w:kern w:val="0"/>
                <w:sz w:val="22"/>
                <w:szCs w:val="22"/>
                <w:u w:val="none"/>
                <w:lang w:val="en-US" w:eastAsia="zh-CN" w:bidi="ar"/>
              </w:rPr>
              <w:t>43</w:t>
            </w:r>
          </w:p>
        </w:tc>
      </w:tr>
      <w:tr>
        <w:tblPrEx>
          <w:tblCellMar>
            <w:top w:w="0" w:type="dxa"/>
            <w:left w:w="108" w:type="dxa"/>
            <w:bottom w:w="0" w:type="dxa"/>
            <w:right w:w="108" w:type="dxa"/>
          </w:tblCellMar>
        </w:tblPrEx>
        <w:trPr>
          <w:trHeight w:val="285" w:hRule="atLeast"/>
          <w:jc w:val="center"/>
        </w:trPr>
        <w:tc>
          <w:tcPr>
            <w:tcW w:w="1560" w:type="dxa"/>
            <w:tcBorders>
              <w:top w:val="nil"/>
              <w:left w:val="single" w:color="auto" w:sz="4" w:space="0"/>
              <w:bottom w:val="single" w:color="auto" w:sz="4" w:space="0"/>
              <w:right w:val="single" w:color="auto" w:sz="4" w:space="0"/>
            </w:tcBorders>
            <w:vAlign w:val="center"/>
          </w:tcPr>
          <w:p>
            <w:pPr>
              <w:widowControl/>
              <w:jc w:val="center"/>
              <w:rPr>
                <w:rFonts w:hint="default" w:ascii="宋体" w:hAnsi="宋体" w:eastAsia="宋体" w:cs="宋体"/>
                <w:color w:val="000000"/>
                <w:kern w:val="0"/>
                <w:sz w:val="21"/>
                <w:szCs w:val="21"/>
                <w:lang w:val="en-US" w:eastAsia="zh-CN"/>
              </w:rPr>
            </w:pPr>
            <w:r>
              <w:rPr>
                <w:rFonts w:ascii="宋体" w:hAnsi="宋体" w:eastAsia="宋体" w:cs="宋体"/>
                <w:color w:val="000000"/>
                <w:kern w:val="0"/>
                <w:sz w:val="21"/>
                <w:szCs w:val="21"/>
              </w:rPr>
              <w:t>201</w:t>
            </w:r>
            <w:r>
              <w:rPr>
                <w:rFonts w:hint="eastAsia" w:ascii="宋体" w:hAnsi="宋体" w:eastAsia="宋体" w:cs="宋体"/>
                <w:color w:val="000000"/>
                <w:kern w:val="0"/>
                <w:sz w:val="21"/>
                <w:szCs w:val="21"/>
                <w:lang w:val="en-US" w:eastAsia="zh-CN"/>
              </w:rPr>
              <w:t>9</w:t>
            </w:r>
            <w:r>
              <w:rPr>
                <w:rFonts w:hint="eastAsia" w:ascii="宋体" w:hAnsi="宋体" w:eastAsia="宋体" w:cs="宋体"/>
                <w:color w:val="000000"/>
                <w:kern w:val="0"/>
                <w:sz w:val="21"/>
                <w:szCs w:val="21"/>
              </w:rPr>
              <w:t>～</w:t>
            </w:r>
            <w:r>
              <w:rPr>
                <w:rFonts w:ascii="宋体" w:hAnsi="宋体" w:eastAsia="宋体" w:cs="宋体"/>
                <w:color w:val="000000"/>
                <w:kern w:val="0"/>
                <w:sz w:val="21"/>
                <w:szCs w:val="21"/>
              </w:rPr>
              <w:t>20</w:t>
            </w:r>
            <w:r>
              <w:rPr>
                <w:rFonts w:hint="eastAsia" w:ascii="宋体" w:hAnsi="宋体" w:eastAsia="宋体" w:cs="宋体"/>
                <w:color w:val="000000"/>
                <w:kern w:val="0"/>
                <w:sz w:val="21"/>
                <w:szCs w:val="21"/>
                <w:lang w:val="en-US" w:eastAsia="zh-CN"/>
              </w:rPr>
              <w:t>20</w:t>
            </w:r>
          </w:p>
        </w:tc>
        <w:tc>
          <w:tcPr>
            <w:tcW w:w="1701"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val="en-US" w:eastAsia="zh-CN"/>
              </w:rPr>
              <w:t>6</w:t>
            </w:r>
          </w:p>
        </w:tc>
        <w:tc>
          <w:tcPr>
            <w:tcW w:w="1701"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val="en-US" w:eastAsia="zh-CN"/>
              </w:rPr>
              <w:t>7</w:t>
            </w:r>
          </w:p>
        </w:tc>
        <w:tc>
          <w:tcPr>
            <w:tcW w:w="1701" w:type="dxa"/>
            <w:tcBorders>
              <w:top w:val="nil"/>
              <w:left w:val="nil"/>
              <w:bottom w:val="single" w:color="auto" w:sz="4" w:space="0"/>
              <w:right w:val="single" w:color="auto" w:sz="4" w:space="0"/>
            </w:tcBorders>
            <w:vAlign w:val="bottom"/>
          </w:tcPr>
          <w:p>
            <w:pPr>
              <w:widowControl/>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13</w:t>
            </w:r>
          </w:p>
        </w:tc>
        <w:tc>
          <w:tcPr>
            <w:tcW w:w="1701"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宋体" w:hAnsi="宋体" w:eastAsia="宋体" w:cs="宋体"/>
                <w:color w:val="000000"/>
                <w:kern w:val="0"/>
                <w:sz w:val="21"/>
                <w:szCs w:val="21"/>
                <w:lang w:val="en-US" w:eastAsia="zh-CN"/>
              </w:rPr>
            </w:pPr>
            <w:r>
              <w:rPr>
                <w:rFonts w:hint="eastAsia" w:ascii="宋体" w:hAnsi="宋体" w:eastAsia="宋体" w:cs="宋体"/>
                <w:i w:val="0"/>
                <w:color w:val="000000"/>
                <w:kern w:val="0"/>
                <w:sz w:val="22"/>
                <w:szCs w:val="22"/>
                <w:u w:val="none"/>
                <w:lang w:val="en-US" w:eastAsia="zh-CN" w:bidi="ar"/>
              </w:rPr>
              <w:t>20</w:t>
            </w:r>
          </w:p>
        </w:tc>
      </w:tr>
    </w:tbl>
    <w:p>
      <w:pPr>
        <w:ind w:firstLine="560" w:firstLineChars="200"/>
        <w:rPr>
          <w:rFonts w:ascii="宋体" w:hAnsi="宋体" w:eastAsia="宋体" w:cs="宋体"/>
          <w:sz w:val="28"/>
          <w:szCs w:val="28"/>
        </w:rPr>
      </w:pPr>
    </w:p>
    <w:p>
      <w:pPr>
        <w:ind w:firstLine="560" w:firstLineChars="200"/>
        <w:rPr>
          <w:rFonts w:hint="eastAsia" w:ascii="宋体" w:hAnsi="宋体" w:eastAsia="宋体" w:cs="宋体"/>
          <w:sz w:val="28"/>
          <w:szCs w:val="28"/>
          <w:lang w:eastAsia="zh-CN"/>
        </w:rPr>
      </w:pPr>
      <w:r>
        <w:rPr>
          <w:rFonts w:ascii="宋体" w:hAnsi="宋体" w:eastAsia="宋体" w:cs="宋体"/>
          <w:sz w:val="28"/>
          <w:szCs w:val="28"/>
        </w:rPr>
        <w:t>4.1.2</w:t>
      </w:r>
      <w:r>
        <w:rPr>
          <w:rFonts w:hint="eastAsia" w:ascii="宋体" w:hAnsi="宋体" w:eastAsia="宋体" w:cs="宋体"/>
          <w:sz w:val="28"/>
          <w:szCs w:val="28"/>
        </w:rPr>
        <w:t>学校成立了由企业、行业专家和专业骨干教师组成的专业建设专家指导委员会</w:t>
      </w:r>
      <w:r>
        <w:rPr>
          <w:rFonts w:hint="eastAsia" w:ascii="宋体" w:hAnsi="宋体" w:eastAsia="宋体" w:cs="宋体"/>
          <w:sz w:val="28"/>
          <w:szCs w:val="28"/>
          <w:lang w:eastAsia="zh-CN"/>
        </w:rPr>
        <w:t>，</w:t>
      </w:r>
      <w:r>
        <w:rPr>
          <w:rFonts w:hint="eastAsia" w:ascii="宋体" w:hAnsi="宋体" w:eastAsia="宋体" w:cs="宋体"/>
          <w:sz w:val="28"/>
          <w:szCs w:val="28"/>
        </w:rPr>
        <w:t>定期召开工作会议，进行专业发展方向论证,不断适应市场需求</w:t>
      </w:r>
      <w:r>
        <w:rPr>
          <w:rFonts w:hint="eastAsia" w:ascii="宋体" w:hAnsi="宋体" w:eastAsia="宋体" w:cs="宋体"/>
          <w:sz w:val="28"/>
          <w:szCs w:val="28"/>
          <w:lang w:eastAsia="zh-CN"/>
        </w:rPr>
        <w:t>，</w:t>
      </w:r>
      <w:r>
        <w:rPr>
          <w:rFonts w:hint="eastAsia" w:ascii="宋体" w:hAnsi="宋体" w:eastAsia="宋体" w:cs="宋体"/>
          <w:sz w:val="28"/>
          <w:szCs w:val="28"/>
        </w:rPr>
        <w:t>在分析学校现状、办学优势的基础上，制定了操作性较强的学校改革发展新一轮总体规划和发展性评价指标体系，明确了学校办学理念、办学目标和实施途径，以争创规范化示范校为总目标，为学校今后办学指明了方向</w:t>
      </w:r>
      <w:r>
        <w:rPr>
          <w:rFonts w:hint="eastAsia" w:ascii="宋体" w:hAnsi="宋体" w:eastAsia="宋体" w:cs="宋体"/>
          <w:sz w:val="28"/>
          <w:szCs w:val="28"/>
          <w:lang w:eastAsia="zh-CN"/>
        </w:rPr>
        <w:t>。</w:t>
      </w:r>
    </w:p>
    <w:p>
      <w:pPr>
        <w:ind w:firstLine="560" w:firstLineChars="200"/>
        <w:rPr>
          <w:rFonts w:ascii="宋体" w:hAnsi="宋体" w:eastAsia="宋体" w:cs="Times New Roman"/>
          <w:sz w:val="28"/>
          <w:szCs w:val="28"/>
        </w:rPr>
      </w:pPr>
      <w:r>
        <w:rPr>
          <w:rFonts w:ascii="宋体" w:hAnsi="宋体" w:eastAsia="宋体" w:cs="宋体"/>
          <w:sz w:val="28"/>
          <w:szCs w:val="28"/>
        </w:rPr>
        <w:t>4.1.3</w:t>
      </w:r>
      <w:r>
        <w:rPr>
          <w:rFonts w:hint="eastAsia" w:ascii="宋体" w:hAnsi="宋体" w:eastAsia="宋体" w:cs="宋体"/>
          <w:sz w:val="28"/>
          <w:szCs w:val="28"/>
        </w:rPr>
        <w:t>学校与企业共同制定人才培养方案、人才培养目标、人才培养方式。企业推荐专家和技术能手来校授课、专题讲座，聘请企业的业务骨干和能工巧匠担任实习指导教师，把生产岗位的最新技术和最新方法传授给学生。通过在实训基地开展工学交替教学实践活动，学生职业技能和职业素养得到提高，也为学生就业打下坚实基础。</w:t>
      </w:r>
    </w:p>
    <w:p>
      <w:pPr>
        <w:pStyle w:val="3"/>
        <w:spacing w:before="0" w:after="0" w:line="240" w:lineRule="auto"/>
        <w:ind w:firstLine="560" w:firstLineChars="200"/>
        <w:rPr>
          <w:rFonts w:ascii="宋体" w:hAnsi="宋体" w:eastAsia="宋体" w:cs="Times New Roman"/>
          <w:b w:val="0"/>
          <w:bCs w:val="0"/>
          <w:sz w:val="28"/>
          <w:szCs w:val="28"/>
        </w:rPr>
      </w:pPr>
      <w:bookmarkStart w:id="29" w:name="_Toc34123288"/>
      <w:r>
        <w:rPr>
          <w:rFonts w:ascii="宋体" w:hAnsi="宋体" w:eastAsia="宋体" w:cs="宋体"/>
          <w:b w:val="0"/>
          <w:bCs w:val="0"/>
          <w:sz w:val="28"/>
          <w:szCs w:val="28"/>
        </w:rPr>
        <w:t>4.2</w:t>
      </w:r>
      <w:r>
        <w:rPr>
          <w:rFonts w:hint="eastAsia" w:ascii="宋体" w:hAnsi="宋体" w:eastAsia="宋体" w:cs="宋体"/>
          <w:b w:val="0"/>
          <w:bCs w:val="0"/>
          <w:sz w:val="28"/>
          <w:szCs w:val="28"/>
        </w:rPr>
        <w:t>学生实习情况</w:t>
      </w:r>
      <w:bookmarkEnd w:id="29"/>
    </w:p>
    <w:p>
      <w:pPr>
        <w:ind w:firstLine="560" w:firstLineChars="200"/>
        <w:rPr>
          <w:rFonts w:hint="default" w:ascii="宋体" w:hAnsi="宋体" w:eastAsia="宋体" w:cs="宋体"/>
          <w:sz w:val="28"/>
          <w:szCs w:val="28"/>
          <w:lang w:val="en-US" w:eastAsia="zh-CN"/>
        </w:rPr>
      </w:pPr>
      <w:r>
        <w:rPr>
          <w:rFonts w:ascii="宋体" w:hAnsi="宋体" w:eastAsia="宋体" w:cs="宋体"/>
          <w:sz w:val="28"/>
          <w:szCs w:val="28"/>
        </w:rPr>
        <w:t>4.2.1</w:t>
      </w:r>
      <w:r>
        <w:rPr>
          <w:rFonts w:hint="eastAsia" w:ascii="宋体" w:hAnsi="宋体" w:eastAsia="宋体" w:cs="宋体"/>
          <w:sz w:val="28"/>
          <w:szCs w:val="28"/>
        </w:rPr>
        <w:t>学校高度重视实习就业管理工作，健全实习管理制度。严格执行《职业学校学生实习管理规定》，为了保证顶岗实习达到预期的效果，学校和企业共同制订了《顶岗实习管理制度》、《校企合作协议书》等制度</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学校</w:t>
      </w:r>
      <w:r>
        <w:rPr>
          <w:rFonts w:hint="eastAsia" w:ascii="宋体" w:hAnsi="宋体" w:eastAsia="宋体" w:cs="宋体"/>
          <w:sz w:val="28"/>
          <w:szCs w:val="28"/>
        </w:rPr>
        <w:t>制定学生顶岗实习计划，顶岗实习学生均签订学校、企业、学生（家长）三方顶岗实习协议，明确顶岗实习期间的权责、安全、保险、利益条款，切实维护学生利益。</w:t>
      </w:r>
      <w:r>
        <w:rPr>
          <w:rFonts w:ascii="宋体" w:hAnsi="宋体" w:eastAsia="宋体" w:cs="Times New Roman"/>
          <w:sz w:val="28"/>
          <w:szCs w:val="28"/>
        </w:rPr>
        <w:br w:type="textWrapping"/>
      </w:r>
      <w:r>
        <w:rPr>
          <w:rFonts w:ascii="宋体" w:hAnsi="宋体" w:eastAsia="宋体" w:cs="宋体"/>
          <w:sz w:val="28"/>
          <w:szCs w:val="28"/>
        </w:rPr>
        <w:t xml:space="preserve">    4.2.</w:t>
      </w:r>
      <w:r>
        <w:rPr>
          <w:rFonts w:hint="eastAsia" w:ascii="宋体" w:hAnsi="宋体" w:eastAsia="宋体" w:cs="宋体"/>
          <w:sz w:val="28"/>
          <w:szCs w:val="28"/>
          <w:lang w:val="en-US" w:eastAsia="zh-CN"/>
        </w:rPr>
        <w:t>2</w:t>
      </w:r>
      <w:r>
        <w:rPr>
          <w:rFonts w:hint="eastAsia" w:ascii="宋体" w:hAnsi="宋体" w:eastAsia="宋体" w:cs="宋体"/>
          <w:sz w:val="28"/>
          <w:szCs w:val="28"/>
        </w:rPr>
        <w:t>选择管理规范、实习设备先进、符合安全生产的实习单位安排学生实习，并选派老师跟踪指导，对学生的管理延伸到企业，校企共同对实习学生督察管理，形成了校企共同参与管理的实习模式，确保了实习过程的规范与安全。</w:t>
      </w:r>
    </w:p>
    <w:p>
      <w:pPr>
        <w:pStyle w:val="3"/>
        <w:spacing w:before="0" w:after="0" w:line="240" w:lineRule="auto"/>
        <w:ind w:firstLine="560" w:firstLineChars="200"/>
        <w:rPr>
          <w:rFonts w:ascii="宋体" w:hAnsi="宋体" w:eastAsia="宋体" w:cs="Times New Roman"/>
          <w:b w:val="0"/>
          <w:bCs w:val="0"/>
          <w:sz w:val="28"/>
          <w:szCs w:val="28"/>
        </w:rPr>
      </w:pPr>
      <w:bookmarkStart w:id="30" w:name="_Toc34123289"/>
      <w:r>
        <w:rPr>
          <w:rFonts w:ascii="宋体" w:hAnsi="宋体" w:eastAsia="宋体" w:cs="宋体"/>
          <w:b w:val="0"/>
          <w:bCs w:val="0"/>
          <w:sz w:val="28"/>
          <w:szCs w:val="28"/>
        </w:rPr>
        <w:t>4.3</w:t>
      </w:r>
      <w:r>
        <w:rPr>
          <w:rFonts w:hint="eastAsia" w:ascii="宋体" w:hAnsi="宋体" w:eastAsia="宋体" w:cs="宋体"/>
          <w:b w:val="0"/>
          <w:bCs w:val="0"/>
          <w:sz w:val="28"/>
          <w:szCs w:val="28"/>
        </w:rPr>
        <w:t>集团化办学情况</w:t>
      </w:r>
      <w:bookmarkEnd w:id="30"/>
    </w:p>
    <w:p>
      <w:pPr>
        <w:ind w:firstLine="560" w:firstLineChars="200"/>
        <w:rPr>
          <w:rFonts w:ascii="宋体" w:hAnsi="宋体" w:eastAsia="宋体" w:cs="Times New Roman"/>
          <w:sz w:val="28"/>
          <w:szCs w:val="28"/>
        </w:rPr>
      </w:pPr>
      <w:r>
        <w:rPr>
          <w:rFonts w:hint="eastAsia" w:ascii="宋体" w:hAnsi="宋体" w:eastAsia="宋体" w:cs="宋体"/>
          <w:sz w:val="28"/>
          <w:szCs w:val="28"/>
        </w:rPr>
        <w:t>学校是黑龙江省煤电化职教集团理事单位</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学</w:t>
      </w:r>
      <w:r>
        <w:rPr>
          <w:rFonts w:hint="eastAsia" w:ascii="宋体" w:hAnsi="宋体" w:eastAsia="宋体" w:cs="宋体"/>
          <w:sz w:val="28"/>
          <w:szCs w:val="28"/>
        </w:rPr>
        <w:t>校积极牵头和参与集团化办学,力争把学校、企业及相关行业与职业教育人才培养的各个环节有机结合，实现资源优化和功能整合，促进教育效益、经济利益、人才效益的最优化，形成“共建、共享、共赢”的新机制。在培养目标、教学管理、教育质量监控实行统一协调，在专业设置、教学计划、基本建设、师资设备、毕业生就业等方面实行统筹。对于企业参与，在后勤管理、学生就业、教学研究、课程设置、专业开发、设施设备、实训基地、实践技术力量等方面实现有效对接。利用校企紧密合作的优势开展技能型人才培养方案和规律的研究；鼓励企业专业技术人员和管理人员到学校任教、兼职，不断优化学校人力资源配置；根据经济社会的需求，充分延伸职教集团的教育功能和社会功能，不断形成职业教育新的发展点。</w:t>
      </w:r>
    </w:p>
    <w:p>
      <w:pPr>
        <w:pStyle w:val="2"/>
        <w:spacing w:before="0" w:after="0" w:line="240" w:lineRule="auto"/>
        <w:ind w:firstLine="640" w:firstLineChars="200"/>
        <w:rPr>
          <w:rFonts w:ascii="黑体" w:hAnsi="黑体" w:eastAsia="黑体" w:cs="Times New Roman"/>
          <w:b w:val="0"/>
          <w:bCs w:val="0"/>
          <w:sz w:val="32"/>
          <w:szCs w:val="32"/>
        </w:rPr>
      </w:pPr>
      <w:bookmarkStart w:id="31" w:name="_Toc34123290"/>
      <w:r>
        <w:rPr>
          <w:rFonts w:ascii="黑体" w:hAnsi="黑体" w:eastAsia="黑体" w:cs="黑体"/>
          <w:b w:val="0"/>
          <w:bCs w:val="0"/>
          <w:sz w:val="32"/>
          <w:szCs w:val="32"/>
        </w:rPr>
        <w:t>5.</w:t>
      </w:r>
      <w:r>
        <w:rPr>
          <w:rFonts w:hint="eastAsia" w:ascii="黑体" w:hAnsi="黑体" w:eastAsia="黑体" w:cs="黑体"/>
          <w:b w:val="0"/>
          <w:bCs w:val="0"/>
          <w:sz w:val="32"/>
          <w:szCs w:val="32"/>
        </w:rPr>
        <w:t>社会贡献</w:t>
      </w:r>
      <w:bookmarkEnd w:id="31"/>
    </w:p>
    <w:p>
      <w:pPr>
        <w:pStyle w:val="3"/>
        <w:spacing w:before="0" w:after="0" w:line="240" w:lineRule="auto"/>
        <w:ind w:firstLine="560" w:firstLineChars="200"/>
        <w:rPr>
          <w:rFonts w:hint="eastAsia" w:ascii="宋体" w:hAnsi="宋体" w:eastAsia="宋体" w:cs="宋体"/>
          <w:b w:val="0"/>
          <w:bCs w:val="0"/>
          <w:sz w:val="28"/>
          <w:szCs w:val="28"/>
        </w:rPr>
      </w:pPr>
      <w:bookmarkStart w:id="32" w:name="_Toc34123291"/>
      <w:r>
        <w:rPr>
          <w:rFonts w:ascii="宋体" w:hAnsi="宋体" w:eastAsia="宋体" w:cs="宋体"/>
          <w:b w:val="0"/>
          <w:bCs w:val="0"/>
          <w:sz w:val="28"/>
          <w:szCs w:val="28"/>
        </w:rPr>
        <w:t>5.1</w:t>
      </w:r>
      <w:r>
        <w:rPr>
          <w:rFonts w:hint="eastAsia" w:ascii="宋体" w:hAnsi="宋体" w:eastAsia="宋体" w:cs="宋体"/>
          <w:b w:val="0"/>
          <w:bCs w:val="0"/>
          <w:sz w:val="28"/>
          <w:szCs w:val="28"/>
        </w:rPr>
        <w:t>技术技能人才培养</w:t>
      </w:r>
      <w:bookmarkEnd w:id="32"/>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both"/>
        <w:rPr>
          <w:rFonts w:hint="eastAsia" w:ascii="宋体" w:hAnsi="宋体" w:eastAsia="宋体" w:cs="宋体"/>
          <w:b w:val="0"/>
          <w:bCs w:val="0"/>
          <w:kern w:val="2"/>
          <w:sz w:val="28"/>
          <w:szCs w:val="28"/>
          <w:lang w:val="en-US" w:eastAsia="zh-CN" w:bidi="ar-SA"/>
        </w:rPr>
      </w:pPr>
      <w:r>
        <w:rPr>
          <w:rFonts w:hint="eastAsia" w:cs="宋体"/>
          <w:b w:val="0"/>
          <w:bCs w:val="0"/>
          <w:kern w:val="2"/>
          <w:sz w:val="28"/>
          <w:szCs w:val="28"/>
          <w:lang w:val="en-US" w:eastAsia="zh-CN" w:bidi="ar-SA"/>
        </w:rPr>
        <w:t>5.1.1</w:t>
      </w:r>
      <w:r>
        <w:rPr>
          <w:rFonts w:hint="eastAsia" w:ascii="宋体" w:hAnsi="宋体" w:eastAsia="宋体" w:cs="宋体"/>
          <w:b w:val="0"/>
          <w:bCs w:val="0"/>
          <w:kern w:val="2"/>
          <w:sz w:val="28"/>
          <w:szCs w:val="28"/>
          <w:lang w:val="en-US" w:eastAsia="zh-CN" w:bidi="ar-SA"/>
        </w:rPr>
        <w:t>聘请企业、院校有关专家组成学校教学指导委员会，共同研讨学校的办学理念、思路、专业建设、教学质量提升等问题，为学校发展建言献策。</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666" w:firstLineChars="238"/>
        <w:jc w:val="both"/>
        <w:rPr>
          <w:rFonts w:hint="eastAsia" w:ascii="宋体" w:hAnsi="宋体" w:eastAsia="宋体" w:cs="宋体"/>
          <w:b w:val="0"/>
          <w:bCs w:val="0"/>
          <w:kern w:val="2"/>
          <w:sz w:val="28"/>
          <w:szCs w:val="28"/>
          <w:lang w:val="en-US" w:eastAsia="zh-CN" w:bidi="ar-SA"/>
        </w:rPr>
      </w:pPr>
      <w:r>
        <w:rPr>
          <w:rFonts w:hint="eastAsia" w:cs="宋体"/>
          <w:b w:val="0"/>
          <w:bCs w:val="0"/>
          <w:kern w:val="2"/>
          <w:sz w:val="28"/>
          <w:szCs w:val="28"/>
          <w:lang w:val="en-US" w:eastAsia="zh-CN" w:bidi="ar-SA"/>
        </w:rPr>
        <w:t>5.1.2</w:t>
      </w:r>
      <w:r>
        <w:rPr>
          <w:rFonts w:hint="eastAsia" w:ascii="宋体" w:hAnsi="宋体" w:eastAsia="宋体" w:cs="宋体"/>
          <w:b w:val="0"/>
          <w:bCs w:val="0"/>
          <w:kern w:val="2"/>
          <w:sz w:val="28"/>
          <w:szCs w:val="28"/>
          <w:lang w:val="en-US" w:eastAsia="zh-CN" w:bidi="ar-SA"/>
        </w:rPr>
        <w:t>学校</w:t>
      </w:r>
      <w:r>
        <w:rPr>
          <w:rFonts w:hint="eastAsia" w:cs="宋体"/>
          <w:b w:val="0"/>
          <w:bCs w:val="0"/>
          <w:kern w:val="2"/>
          <w:sz w:val="28"/>
          <w:szCs w:val="28"/>
          <w:lang w:val="en-US" w:eastAsia="zh-CN" w:bidi="ar-SA"/>
        </w:rPr>
        <w:t>招生就业办</w:t>
      </w:r>
      <w:r>
        <w:rPr>
          <w:rFonts w:hint="eastAsia" w:ascii="宋体" w:hAnsi="宋体" w:eastAsia="宋体" w:cs="宋体"/>
          <w:b w:val="0"/>
          <w:bCs w:val="0"/>
          <w:kern w:val="2"/>
          <w:sz w:val="28"/>
          <w:szCs w:val="28"/>
          <w:lang w:val="en-US" w:eastAsia="zh-CN" w:bidi="ar-SA"/>
        </w:rPr>
        <w:t>与</w:t>
      </w:r>
      <w:r>
        <w:rPr>
          <w:rFonts w:hint="eastAsia" w:cs="宋体"/>
          <w:b w:val="0"/>
          <w:bCs w:val="0"/>
          <w:kern w:val="2"/>
          <w:sz w:val="28"/>
          <w:szCs w:val="28"/>
          <w:lang w:val="en-US" w:eastAsia="zh-CN" w:bidi="ar-SA"/>
        </w:rPr>
        <w:t>教务科</w:t>
      </w:r>
      <w:r>
        <w:rPr>
          <w:rFonts w:hint="eastAsia" w:ascii="宋体" w:hAnsi="宋体" w:eastAsia="宋体" w:cs="宋体"/>
          <w:b w:val="0"/>
          <w:bCs w:val="0"/>
          <w:kern w:val="2"/>
          <w:sz w:val="28"/>
          <w:szCs w:val="28"/>
          <w:lang w:val="en-US" w:eastAsia="zh-CN" w:bidi="ar-SA"/>
        </w:rPr>
        <w:t>组成专业建设调研组，定期走访企业，对企业用工需求和岗位技能标准新变化展开调研，主动征询毕业生就业单位对技能人才的培养意见，为不断改进教育教学提供可靠的客观依据。</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666" w:firstLineChars="238"/>
        <w:jc w:val="both"/>
        <w:rPr>
          <w:rFonts w:hint="eastAsia" w:ascii="宋体" w:hAnsi="宋体" w:eastAsia="宋体" w:cs="宋体"/>
          <w:b w:val="0"/>
          <w:bCs w:val="0"/>
          <w:kern w:val="2"/>
          <w:sz w:val="28"/>
          <w:szCs w:val="28"/>
          <w:lang w:val="en-US" w:eastAsia="zh-CN" w:bidi="ar-SA"/>
        </w:rPr>
      </w:pPr>
      <w:r>
        <w:rPr>
          <w:rFonts w:hint="eastAsia" w:cs="宋体"/>
          <w:b w:val="0"/>
          <w:bCs w:val="0"/>
          <w:kern w:val="2"/>
          <w:sz w:val="28"/>
          <w:szCs w:val="28"/>
          <w:lang w:val="en-US" w:eastAsia="zh-CN" w:bidi="ar-SA"/>
        </w:rPr>
        <w:t>5.1.3</w:t>
      </w:r>
      <w:r>
        <w:rPr>
          <w:rFonts w:hint="eastAsia" w:ascii="宋体" w:hAnsi="宋体" w:eastAsia="宋体" w:cs="宋体"/>
          <w:b w:val="0"/>
          <w:bCs w:val="0"/>
          <w:kern w:val="2"/>
          <w:sz w:val="28"/>
          <w:szCs w:val="28"/>
          <w:lang w:val="en-US" w:eastAsia="zh-CN" w:bidi="ar-SA"/>
        </w:rPr>
        <w:t>学校定期联系家长，教育教学向社会开放，从教育教学管理、学校环境、后勤保障、学校安全等，使家长时刻关注学生在学校的情况，促进学校的教育教学质量不断提升。</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666" w:firstLineChars="238"/>
        <w:jc w:val="both"/>
      </w:pPr>
      <w:r>
        <w:rPr>
          <w:rFonts w:hint="eastAsia" w:cs="宋体"/>
          <w:b w:val="0"/>
          <w:bCs w:val="0"/>
          <w:kern w:val="2"/>
          <w:sz w:val="28"/>
          <w:szCs w:val="28"/>
          <w:lang w:val="en-US" w:eastAsia="zh-CN" w:bidi="ar-SA"/>
        </w:rPr>
        <w:t>5.1.4</w:t>
      </w:r>
      <w:r>
        <w:rPr>
          <w:rFonts w:hint="eastAsia" w:ascii="宋体" w:hAnsi="宋体" w:eastAsia="宋体" w:cs="宋体"/>
          <w:b w:val="0"/>
          <w:bCs w:val="0"/>
          <w:kern w:val="2"/>
          <w:sz w:val="28"/>
          <w:szCs w:val="28"/>
          <w:lang w:val="en-US" w:eastAsia="zh-CN" w:bidi="ar-SA"/>
        </w:rPr>
        <w:t>毕业生质量逐年提升，在企业回访中，企业对我校学生给予了较高评价，用人单位满意度比较高</w:t>
      </w:r>
      <w:r>
        <w:rPr>
          <w:rFonts w:hint="eastAsia" w:cs="宋体"/>
          <w:b w:val="0"/>
          <w:bCs w:val="0"/>
          <w:kern w:val="2"/>
          <w:sz w:val="28"/>
          <w:szCs w:val="28"/>
          <w:lang w:val="en-US" w:eastAsia="zh-CN" w:bidi="ar-SA"/>
        </w:rPr>
        <w:t>，</w:t>
      </w:r>
      <w:r>
        <w:rPr>
          <w:rFonts w:hint="eastAsia" w:ascii="宋体" w:hAnsi="宋体" w:eastAsia="宋体" w:cs="宋体"/>
          <w:sz w:val="28"/>
          <w:szCs w:val="28"/>
        </w:rPr>
        <w:t>企业对学生满意度都在</w:t>
      </w:r>
      <w:r>
        <w:rPr>
          <w:rFonts w:ascii="宋体" w:hAnsi="宋体" w:eastAsia="宋体" w:cs="宋体"/>
          <w:sz w:val="28"/>
          <w:szCs w:val="28"/>
        </w:rPr>
        <w:t>9</w:t>
      </w:r>
      <w:r>
        <w:rPr>
          <w:rFonts w:hint="eastAsia" w:cs="宋体"/>
          <w:sz w:val="28"/>
          <w:szCs w:val="28"/>
          <w:lang w:val="en-US" w:eastAsia="zh-CN"/>
        </w:rPr>
        <w:t>7</w:t>
      </w:r>
      <w:r>
        <w:rPr>
          <w:rFonts w:ascii="宋体" w:hAnsi="宋体" w:eastAsia="宋体" w:cs="宋体"/>
          <w:sz w:val="28"/>
          <w:szCs w:val="28"/>
        </w:rPr>
        <w:t>%</w:t>
      </w:r>
      <w:r>
        <w:rPr>
          <w:rFonts w:hint="eastAsia" w:ascii="宋体" w:hAnsi="宋体" w:eastAsia="宋体" w:cs="宋体"/>
          <w:sz w:val="28"/>
          <w:szCs w:val="28"/>
        </w:rPr>
        <w:t>以上</w:t>
      </w:r>
      <w:r>
        <w:rPr>
          <w:rFonts w:hint="eastAsia" w:ascii="宋体" w:hAnsi="宋体" w:eastAsia="宋体" w:cs="宋体"/>
          <w:b w:val="0"/>
          <w:bCs w:val="0"/>
          <w:kern w:val="2"/>
          <w:sz w:val="28"/>
          <w:szCs w:val="28"/>
          <w:lang w:val="en-US" w:eastAsia="zh-CN" w:bidi="ar-SA"/>
        </w:rPr>
        <w:t>。</w:t>
      </w:r>
    </w:p>
    <w:p>
      <w:pPr>
        <w:pStyle w:val="3"/>
        <w:spacing w:before="0" w:after="0" w:line="240" w:lineRule="auto"/>
        <w:ind w:firstLine="560" w:firstLineChars="200"/>
        <w:rPr>
          <w:rFonts w:hint="eastAsia" w:ascii="宋体" w:hAnsi="宋体" w:eastAsia="宋体" w:cs="宋体"/>
          <w:b w:val="0"/>
          <w:bCs w:val="0"/>
          <w:sz w:val="28"/>
          <w:szCs w:val="28"/>
        </w:rPr>
      </w:pPr>
      <w:bookmarkStart w:id="33" w:name="_Toc34123292"/>
      <w:r>
        <w:rPr>
          <w:rFonts w:ascii="宋体" w:hAnsi="宋体" w:eastAsia="宋体" w:cs="宋体"/>
          <w:b w:val="0"/>
          <w:bCs w:val="0"/>
          <w:sz w:val="28"/>
          <w:szCs w:val="28"/>
        </w:rPr>
        <w:t>5.2</w:t>
      </w:r>
      <w:r>
        <w:rPr>
          <w:rFonts w:hint="eastAsia" w:ascii="宋体" w:hAnsi="宋体" w:eastAsia="宋体" w:cs="宋体"/>
          <w:b w:val="0"/>
          <w:bCs w:val="0"/>
          <w:sz w:val="28"/>
          <w:szCs w:val="28"/>
        </w:rPr>
        <w:t>社会服务</w:t>
      </w:r>
      <w:bookmarkEnd w:id="33"/>
    </w:p>
    <w:p>
      <w:pPr>
        <w:ind w:firstLine="560" w:firstLineChars="200"/>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我校是中国地质大学武汉远程与继续教育、东北农业大学远程与继续教育学习中心，共设立非全日制学历教育专业28个，同时我校与中国地质大学武汉合作同等学力研究生办学，为地矿系统及社会技术人才学历提升做出了贡献，2019年非全日制人数为252人，2020年非全日制人数为227人，全部为企事业在职职工。</w:t>
      </w:r>
    </w:p>
    <w:p>
      <w:pPr>
        <w:ind w:firstLine="560" w:firstLineChars="200"/>
        <w:rPr>
          <w:rFonts w:hint="default" w:ascii="宋体" w:hAnsi="宋体" w:eastAsia="宋体" w:cs="宋体"/>
          <w:b w:val="0"/>
          <w:bCs w:val="0"/>
          <w:sz w:val="28"/>
          <w:szCs w:val="28"/>
          <w:lang w:val="en-US" w:eastAsia="zh-CN"/>
        </w:rPr>
      </w:pPr>
      <w:r>
        <w:rPr>
          <w:rFonts w:hint="eastAsia" w:ascii="宋体" w:hAnsi="宋体" w:eastAsia="宋体" w:cs="宋体"/>
          <w:sz w:val="28"/>
          <w:szCs w:val="28"/>
        </w:rPr>
        <w:t>我校是省地矿局职工和干部培训基地，肩负着地矿行业在职职工的培训任务，能够充分利用各种资源，积极开展面向社会和行业内的各种形式、层次的职业培训工作。</w:t>
      </w:r>
    </w:p>
    <w:p>
      <w:pPr>
        <w:pStyle w:val="3"/>
        <w:spacing w:before="0" w:after="0" w:line="240" w:lineRule="auto"/>
        <w:ind w:firstLine="560" w:firstLineChars="200"/>
        <w:rPr>
          <w:rFonts w:ascii="宋体" w:hAnsi="宋体" w:eastAsia="宋体" w:cs="Times New Roman"/>
          <w:b w:val="0"/>
          <w:bCs w:val="0"/>
          <w:sz w:val="28"/>
          <w:szCs w:val="28"/>
        </w:rPr>
      </w:pPr>
      <w:bookmarkStart w:id="34" w:name="_Toc34123293"/>
      <w:bookmarkStart w:id="35" w:name="_Toc535586447"/>
      <w:r>
        <w:rPr>
          <w:rFonts w:ascii="宋体" w:hAnsi="宋体" w:eastAsia="宋体" w:cs="宋体"/>
          <w:b w:val="0"/>
          <w:bCs w:val="0"/>
          <w:sz w:val="28"/>
          <w:szCs w:val="28"/>
        </w:rPr>
        <w:t>5.3</w:t>
      </w:r>
      <w:r>
        <w:rPr>
          <w:rFonts w:hint="eastAsia" w:ascii="宋体" w:hAnsi="宋体" w:eastAsia="宋体" w:cs="宋体"/>
          <w:b w:val="0"/>
          <w:bCs w:val="0"/>
          <w:sz w:val="28"/>
          <w:szCs w:val="28"/>
        </w:rPr>
        <w:t>对口支援</w:t>
      </w:r>
      <w:bookmarkEnd w:id="34"/>
    </w:p>
    <w:p>
      <w:pPr>
        <w:spacing w:line="58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rPr>
        <w:t>根据上级有关文件精神，学校坚持求真务实的原则，精心组织，周密实施，进一步加大了对口支援的力度，</w:t>
      </w:r>
      <w:r>
        <w:rPr>
          <w:rFonts w:hint="eastAsia" w:ascii="宋体" w:hAnsi="宋体" w:eastAsia="宋体" w:cs="宋体"/>
          <w:sz w:val="28"/>
          <w:szCs w:val="28"/>
          <w:lang w:val="en-US" w:eastAsia="zh-CN"/>
        </w:rPr>
        <w:t>我校招收“建档立卡贫困家庭子女”7人到学校学习，为他们免除了学费、住宿费、书费、行李费、校服费等费用，共计31000元。</w:t>
      </w:r>
    </w:p>
    <w:p>
      <w:pPr>
        <w:pStyle w:val="26"/>
        <w:keepNext w:val="0"/>
        <w:keepLines w:val="0"/>
        <w:widowControl w:val="0"/>
        <w:shd w:val="clear" w:color="auto" w:fill="auto"/>
        <w:bidi w:val="0"/>
        <w:spacing w:before="0" w:after="0" w:line="581" w:lineRule="exact"/>
        <w:ind w:left="0" w:right="0" w:firstLine="580"/>
        <w:jc w:val="left"/>
        <w:rPr>
          <w:rFonts w:ascii="宋体" w:hAnsi="宋体" w:eastAsia="宋体" w:cs="宋体"/>
          <w:b w:val="0"/>
          <w:bCs w:val="0"/>
          <w:kern w:val="2"/>
          <w:sz w:val="28"/>
          <w:szCs w:val="28"/>
          <w:u w:val="none"/>
          <w:shd w:val="clear"/>
          <w:lang w:val="en-US" w:eastAsia="zh-CN" w:bidi="ar-SA"/>
        </w:rPr>
      </w:pPr>
      <w:r>
        <w:rPr>
          <w:rFonts w:ascii="宋体" w:hAnsi="宋体" w:eastAsia="宋体" w:cs="宋体"/>
          <w:b w:val="0"/>
          <w:bCs w:val="0"/>
          <w:kern w:val="2"/>
          <w:sz w:val="28"/>
          <w:szCs w:val="28"/>
          <w:u w:val="none"/>
          <w:shd w:val="clear"/>
          <w:lang w:val="en-US" w:eastAsia="en-US" w:bidi="ar-SA"/>
        </w:rPr>
        <w:t>5.4</w:t>
      </w:r>
      <w:r>
        <w:rPr>
          <w:rFonts w:ascii="宋体" w:hAnsi="宋体" w:eastAsia="宋体" w:cs="宋体"/>
          <w:b w:val="0"/>
          <w:bCs w:val="0"/>
          <w:kern w:val="2"/>
          <w:sz w:val="28"/>
          <w:szCs w:val="28"/>
          <w:u w:val="none"/>
          <w:shd w:val="clear"/>
          <w:lang w:val="en-US" w:eastAsia="zh-CN" w:bidi="ar-SA"/>
        </w:rPr>
        <w:t>服务抗疫。</w:t>
      </w:r>
    </w:p>
    <w:p>
      <w:pPr>
        <w:pStyle w:val="26"/>
        <w:keepNext w:val="0"/>
        <w:keepLines w:val="0"/>
        <w:widowControl w:val="0"/>
        <w:shd w:val="clear" w:color="auto" w:fill="auto"/>
        <w:bidi w:val="0"/>
        <w:spacing w:before="0" w:after="0" w:line="581" w:lineRule="exact"/>
        <w:ind w:left="0" w:right="0" w:firstLine="580"/>
        <w:jc w:val="left"/>
        <w:rPr>
          <w:rFonts w:hint="eastAsia" w:ascii="宋体" w:hAnsi="宋体" w:eastAsia="宋体" w:cs="宋体"/>
          <w:sz w:val="28"/>
          <w:szCs w:val="28"/>
          <w:lang w:val="en-US" w:eastAsia="zh-CN"/>
        </w:rPr>
      </w:pPr>
      <w:r>
        <w:rPr>
          <w:rFonts w:hint="eastAsia" w:cs="宋体"/>
          <w:sz w:val="28"/>
          <w:szCs w:val="28"/>
          <w:lang w:val="en-US" w:eastAsia="zh-CN"/>
        </w:rPr>
        <w:t>2020年新冠疫情期间，我校</w:t>
      </w:r>
      <w:r>
        <w:rPr>
          <w:rFonts w:hint="eastAsia" w:ascii="宋体" w:hAnsi="宋体" w:eastAsia="宋体" w:cs="宋体"/>
          <w:sz w:val="28"/>
          <w:szCs w:val="28"/>
        </w:rPr>
        <w:t>1名党员</w:t>
      </w:r>
      <w:r>
        <w:rPr>
          <w:rFonts w:hint="eastAsia" w:cs="宋体"/>
          <w:sz w:val="28"/>
          <w:szCs w:val="28"/>
          <w:lang w:val="en-US" w:eastAsia="zh-CN"/>
        </w:rPr>
        <w:t>同志</w:t>
      </w:r>
      <w:r>
        <w:rPr>
          <w:rFonts w:hint="eastAsia" w:ascii="宋体" w:hAnsi="宋体" w:eastAsia="宋体" w:cs="宋体"/>
          <w:sz w:val="28"/>
          <w:szCs w:val="28"/>
        </w:rPr>
        <w:t>在疫情期间下沉社区，表现优秀，被团省委评为</w:t>
      </w:r>
      <w:r>
        <w:rPr>
          <w:rFonts w:hint="eastAsia" w:cs="宋体"/>
          <w:sz w:val="28"/>
          <w:szCs w:val="28"/>
          <w:lang w:eastAsia="zh-CN"/>
        </w:rPr>
        <w:t>“</w:t>
      </w:r>
      <w:r>
        <w:rPr>
          <w:rFonts w:hint="eastAsia" w:cs="宋体"/>
          <w:sz w:val="28"/>
          <w:szCs w:val="28"/>
          <w:lang w:val="en-US" w:eastAsia="zh-CN"/>
        </w:rPr>
        <w:t>黑龙江省</w:t>
      </w:r>
      <w:r>
        <w:rPr>
          <w:rFonts w:hint="eastAsia" w:ascii="宋体" w:hAnsi="宋体" w:eastAsia="宋体" w:cs="宋体"/>
          <w:sz w:val="28"/>
          <w:szCs w:val="28"/>
        </w:rPr>
        <w:t>优秀团干部</w:t>
      </w:r>
      <w:r>
        <w:rPr>
          <w:rFonts w:hint="eastAsia" w:cs="宋体"/>
          <w:sz w:val="28"/>
          <w:szCs w:val="28"/>
          <w:lang w:eastAsia="zh-CN"/>
        </w:rPr>
        <w:t>”</w:t>
      </w:r>
      <w:r>
        <w:rPr>
          <w:rFonts w:hint="eastAsia" w:ascii="宋体" w:hAnsi="宋体" w:eastAsia="宋体" w:cs="宋体"/>
          <w:sz w:val="28"/>
          <w:szCs w:val="28"/>
        </w:rPr>
        <w:t>。51名党员为疫情捐款，5名教师爱心献血，谱写同心战疫的交响曲。</w:t>
      </w:r>
    </w:p>
    <w:bookmarkEnd w:id="35"/>
    <w:p>
      <w:pPr>
        <w:pStyle w:val="2"/>
        <w:spacing w:before="0" w:after="0" w:line="240" w:lineRule="auto"/>
        <w:ind w:firstLine="640" w:firstLineChars="200"/>
        <w:rPr>
          <w:rFonts w:ascii="黑体" w:hAnsi="黑体" w:eastAsia="黑体" w:cs="Times New Roman"/>
          <w:b w:val="0"/>
          <w:bCs w:val="0"/>
          <w:sz w:val="32"/>
          <w:szCs w:val="32"/>
        </w:rPr>
      </w:pPr>
      <w:bookmarkStart w:id="36" w:name="_Toc34123294"/>
      <w:r>
        <w:rPr>
          <w:rFonts w:ascii="黑体" w:hAnsi="黑体" w:eastAsia="黑体" w:cs="黑体"/>
          <w:b w:val="0"/>
          <w:bCs w:val="0"/>
          <w:sz w:val="32"/>
          <w:szCs w:val="32"/>
        </w:rPr>
        <w:t>6.</w:t>
      </w:r>
      <w:r>
        <w:rPr>
          <w:rFonts w:hint="eastAsia" w:ascii="黑体" w:hAnsi="黑体" w:eastAsia="黑体" w:cs="黑体"/>
          <w:b w:val="0"/>
          <w:bCs w:val="0"/>
          <w:sz w:val="32"/>
          <w:szCs w:val="32"/>
        </w:rPr>
        <w:t>举办者履责</w:t>
      </w:r>
      <w:bookmarkEnd w:id="36"/>
    </w:p>
    <w:p>
      <w:pPr>
        <w:pStyle w:val="3"/>
        <w:spacing w:before="0" w:after="0" w:line="240" w:lineRule="auto"/>
        <w:ind w:firstLine="560" w:firstLineChars="200"/>
        <w:rPr>
          <w:rFonts w:ascii="宋体" w:hAnsi="宋体" w:eastAsia="宋体" w:cs="Times New Roman"/>
          <w:b w:val="0"/>
          <w:bCs w:val="0"/>
          <w:sz w:val="28"/>
          <w:szCs w:val="28"/>
        </w:rPr>
      </w:pPr>
      <w:bookmarkStart w:id="37" w:name="_Toc34123295"/>
      <w:r>
        <w:rPr>
          <w:rFonts w:ascii="宋体" w:hAnsi="宋体" w:eastAsia="宋体" w:cs="宋体"/>
          <w:b w:val="0"/>
          <w:bCs w:val="0"/>
          <w:sz w:val="28"/>
          <w:szCs w:val="28"/>
        </w:rPr>
        <w:t>6.1</w:t>
      </w:r>
      <w:r>
        <w:rPr>
          <w:rFonts w:hint="eastAsia" w:ascii="宋体" w:hAnsi="宋体" w:eastAsia="宋体" w:cs="宋体"/>
          <w:b w:val="0"/>
          <w:bCs w:val="0"/>
          <w:sz w:val="28"/>
          <w:szCs w:val="28"/>
        </w:rPr>
        <w:t>经费</w:t>
      </w:r>
      <w:bookmarkEnd w:id="37"/>
    </w:p>
    <w:p>
      <w:pPr>
        <w:ind w:firstLine="560" w:firstLineChars="200"/>
        <w:rPr>
          <w:rFonts w:hint="eastAsia" w:ascii="宋体" w:hAnsi="宋体" w:eastAsia="宋体" w:cs="宋体"/>
          <w:sz w:val="28"/>
          <w:szCs w:val="28"/>
        </w:rPr>
      </w:pPr>
      <w:r>
        <w:rPr>
          <w:rFonts w:ascii="宋体" w:hAnsi="宋体" w:eastAsia="宋体" w:cs="宋体"/>
          <w:sz w:val="28"/>
          <w:szCs w:val="28"/>
        </w:rPr>
        <w:t>6.1.1</w:t>
      </w:r>
      <w:r>
        <w:rPr>
          <w:rFonts w:hint="eastAsia" w:ascii="宋体" w:hAnsi="宋体" w:eastAsia="宋体" w:cs="宋体"/>
          <w:sz w:val="28"/>
          <w:szCs w:val="28"/>
        </w:rPr>
        <w:t>资产情况</w:t>
      </w:r>
    </w:p>
    <w:p>
      <w:pPr>
        <w:ind w:firstLine="560" w:firstLineChars="200"/>
        <w:rPr>
          <w:rFonts w:hint="eastAsia" w:ascii="宋体" w:hAnsi="宋体" w:eastAsia="宋体" w:cs="Times New Roman"/>
          <w:sz w:val="28"/>
          <w:szCs w:val="28"/>
          <w:lang w:eastAsia="zh-CN"/>
        </w:rPr>
      </w:pPr>
      <w:r>
        <w:rPr>
          <w:rFonts w:hint="eastAsia" w:ascii="宋体" w:hAnsi="宋体" w:eastAsia="宋体" w:cs="宋体"/>
          <w:sz w:val="28"/>
          <w:szCs w:val="28"/>
          <w:lang w:val="en-US" w:eastAsia="zh-CN"/>
        </w:rPr>
        <w:t>2019</w:t>
      </w:r>
      <w:r>
        <w:rPr>
          <w:rFonts w:hint="eastAsia" w:ascii="宋体" w:hAnsi="宋体" w:eastAsia="宋体" w:cs="宋体"/>
          <w:sz w:val="28"/>
          <w:szCs w:val="28"/>
        </w:rPr>
        <w:t>年资产总计</w:t>
      </w:r>
      <w:r>
        <w:rPr>
          <w:rFonts w:ascii="宋体" w:hAnsi="宋体" w:eastAsia="宋体" w:cs="宋体"/>
          <w:sz w:val="28"/>
          <w:szCs w:val="28"/>
        </w:rPr>
        <w:t>2450</w:t>
      </w:r>
      <w:r>
        <w:rPr>
          <w:rFonts w:hint="eastAsia" w:ascii="宋体" w:hAnsi="宋体" w:eastAsia="宋体" w:cs="宋体"/>
          <w:sz w:val="28"/>
          <w:szCs w:val="28"/>
        </w:rPr>
        <w:t>万元，其中：流动资产</w:t>
      </w:r>
      <w:r>
        <w:rPr>
          <w:rFonts w:ascii="宋体" w:hAnsi="宋体" w:eastAsia="宋体" w:cs="宋体"/>
          <w:sz w:val="28"/>
          <w:szCs w:val="28"/>
        </w:rPr>
        <w:t>184.66</w:t>
      </w:r>
      <w:r>
        <w:rPr>
          <w:rFonts w:hint="eastAsia" w:ascii="宋体" w:hAnsi="宋体" w:eastAsia="宋体" w:cs="宋体"/>
          <w:sz w:val="28"/>
          <w:szCs w:val="28"/>
        </w:rPr>
        <w:t>万元，固定资产原值</w:t>
      </w:r>
      <w:r>
        <w:rPr>
          <w:rFonts w:ascii="宋体" w:hAnsi="宋体" w:eastAsia="宋体" w:cs="宋体"/>
          <w:sz w:val="28"/>
          <w:szCs w:val="28"/>
        </w:rPr>
        <w:t>3</w:t>
      </w:r>
      <w:r>
        <w:rPr>
          <w:rFonts w:hint="eastAsia" w:ascii="宋体" w:hAnsi="宋体" w:eastAsia="宋体" w:cs="宋体"/>
          <w:sz w:val="28"/>
          <w:szCs w:val="28"/>
          <w:lang w:eastAsia="zh-CN"/>
        </w:rPr>
        <w:t>，</w:t>
      </w:r>
      <w:r>
        <w:rPr>
          <w:rFonts w:ascii="宋体" w:hAnsi="宋体" w:eastAsia="宋体" w:cs="宋体"/>
          <w:sz w:val="28"/>
          <w:szCs w:val="28"/>
        </w:rPr>
        <w:t>547.94</w:t>
      </w:r>
      <w:r>
        <w:rPr>
          <w:rFonts w:hint="eastAsia" w:ascii="宋体" w:hAnsi="宋体" w:eastAsia="宋体" w:cs="宋体"/>
          <w:sz w:val="28"/>
          <w:szCs w:val="28"/>
        </w:rPr>
        <w:t>万元，累计折旧</w:t>
      </w:r>
      <w:r>
        <w:rPr>
          <w:rFonts w:ascii="宋体" w:hAnsi="宋体" w:eastAsia="宋体" w:cs="宋体"/>
          <w:sz w:val="28"/>
          <w:szCs w:val="28"/>
        </w:rPr>
        <w:t>1</w:t>
      </w:r>
      <w:r>
        <w:rPr>
          <w:rFonts w:hint="eastAsia" w:ascii="宋体" w:hAnsi="宋体" w:eastAsia="宋体" w:cs="宋体"/>
          <w:sz w:val="28"/>
          <w:szCs w:val="28"/>
          <w:lang w:eastAsia="zh-CN"/>
        </w:rPr>
        <w:t>，</w:t>
      </w:r>
      <w:r>
        <w:rPr>
          <w:rFonts w:ascii="宋体" w:hAnsi="宋体" w:eastAsia="宋体" w:cs="宋体"/>
          <w:sz w:val="28"/>
          <w:szCs w:val="28"/>
        </w:rPr>
        <w:t>330.14</w:t>
      </w:r>
      <w:r>
        <w:rPr>
          <w:rFonts w:hint="eastAsia" w:ascii="宋体" w:hAnsi="宋体" w:eastAsia="宋体" w:cs="宋体"/>
          <w:sz w:val="28"/>
          <w:szCs w:val="28"/>
        </w:rPr>
        <w:t>万元，固定资产净值</w:t>
      </w:r>
      <w:r>
        <w:rPr>
          <w:rFonts w:ascii="宋体" w:hAnsi="宋体" w:eastAsia="宋体" w:cs="宋体"/>
          <w:sz w:val="28"/>
          <w:szCs w:val="28"/>
        </w:rPr>
        <w:t>2</w:t>
      </w:r>
      <w:r>
        <w:rPr>
          <w:rFonts w:hint="eastAsia" w:ascii="宋体" w:hAnsi="宋体" w:eastAsia="宋体" w:cs="宋体"/>
          <w:sz w:val="28"/>
          <w:szCs w:val="28"/>
          <w:lang w:eastAsia="zh-CN"/>
        </w:rPr>
        <w:t>，</w:t>
      </w:r>
      <w:r>
        <w:rPr>
          <w:rFonts w:ascii="宋体" w:hAnsi="宋体" w:eastAsia="宋体" w:cs="宋体"/>
          <w:sz w:val="28"/>
          <w:szCs w:val="28"/>
        </w:rPr>
        <w:t>217.80</w:t>
      </w:r>
      <w:r>
        <w:rPr>
          <w:rFonts w:hint="eastAsia" w:ascii="宋体" w:hAnsi="宋体" w:eastAsia="宋体" w:cs="宋体"/>
          <w:sz w:val="28"/>
          <w:szCs w:val="28"/>
        </w:rPr>
        <w:t>元，无形资产</w:t>
      </w:r>
      <w:r>
        <w:rPr>
          <w:rFonts w:ascii="宋体" w:hAnsi="宋体" w:eastAsia="宋体" w:cs="宋体"/>
          <w:sz w:val="28"/>
          <w:szCs w:val="28"/>
        </w:rPr>
        <w:t>55</w:t>
      </w:r>
      <w:r>
        <w:rPr>
          <w:rFonts w:hint="eastAsia" w:ascii="宋体" w:hAnsi="宋体" w:eastAsia="宋体" w:cs="宋体"/>
          <w:sz w:val="28"/>
          <w:szCs w:val="28"/>
        </w:rPr>
        <w:t>万元，其中教学设备</w:t>
      </w:r>
      <w:r>
        <w:rPr>
          <w:rFonts w:ascii="宋体" w:hAnsi="宋体" w:eastAsia="宋体" w:cs="宋体"/>
          <w:sz w:val="28"/>
          <w:szCs w:val="28"/>
        </w:rPr>
        <w:t>1256</w:t>
      </w:r>
      <w:r>
        <w:rPr>
          <w:rFonts w:hint="eastAsia" w:ascii="宋体" w:hAnsi="宋体" w:eastAsia="宋体" w:cs="宋体"/>
          <w:sz w:val="28"/>
          <w:szCs w:val="28"/>
        </w:rPr>
        <w:t>万元</w:t>
      </w:r>
      <w:r>
        <w:rPr>
          <w:rFonts w:hint="eastAsia" w:ascii="宋体" w:hAnsi="宋体" w:eastAsia="宋体" w:cs="宋体"/>
          <w:sz w:val="28"/>
          <w:szCs w:val="28"/>
          <w:lang w:eastAsia="zh-CN"/>
        </w:rPr>
        <w:t>。</w:t>
      </w:r>
    </w:p>
    <w:p>
      <w:pPr>
        <w:ind w:firstLine="560" w:firstLineChars="200"/>
        <w:rPr>
          <w:rFonts w:ascii="宋体" w:hAnsi="宋体" w:eastAsia="宋体" w:cs="Times New Roman"/>
          <w:sz w:val="28"/>
          <w:szCs w:val="28"/>
        </w:rPr>
      </w:pP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年资产总计</w:t>
      </w:r>
      <w:r>
        <w:rPr>
          <w:rFonts w:hint="eastAsia" w:ascii="宋体" w:hAnsi="宋体" w:eastAsia="宋体" w:cs="宋体"/>
          <w:sz w:val="28"/>
          <w:szCs w:val="28"/>
          <w:lang w:val="en-US" w:eastAsia="zh-CN"/>
        </w:rPr>
        <w:t>2，413.31</w:t>
      </w:r>
      <w:r>
        <w:rPr>
          <w:rFonts w:hint="eastAsia" w:ascii="宋体" w:hAnsi="宋体" w:eastAsia="宋体" w:cs="宋体"/>
          <w:sz w:val="28"/>
          <w:szCs w:val="28"/>
        </w:rPr>
        <w:t>万元，其中：流动资产</w:t>
      </w:r>
      <w:r>
        <w:rPr>
          <w:rFonts w:hint="eastAsia" w:ascii="宋体" w:hAnsi="宋体" w:eastAsia="宋体" w:cs="宋体"/>
          <w:sz w:val="28"/>
          <w:szCs w:val="28"/>
          <w:lang w:val="en-US" w:eastAsia="zh-CN"/>
        </w:rPr>
        <w:t>215.72</w:t>
      </w:r>
      <w:r>
        <w:rPr>
          <w:rFonts w:hint="eastAsia" w:ascii="宋体" w:hAnsi="宋体" w:eastAsia="宋体" w:cs="宋体"/>
          <w:sz w:val="28"/>
          <w:szCs w:val="28"/>
        </w:rPr>
        <w:t>万元</w:t>
      </w:r>
      <w:r>
        <w:rPr>
          <w:rFonts w:hint="eastAsia" w:ascii="宋体" w:hAnsi="宋体" w:eastAsia="宋体" w:cs="宋体"/>
          <w:sz w:val="28"/>
          <w:szCs w:val="28"/>
          <w:lang w:eastAsia="zh-CN"/>
        </w:rPr>
        <w:t>，</w:t>
      </w:r>
      <w:r>
        <w:rPr>
          <w:rFonts w:hint="eastAsia" w:ascii="宋体" w:hAnsi="宋体" w:eastAsia="宋体" w:cs="宋体"/>
          <w:sz w:val="28"/>
          <w:szCs w:val="28"/>
        </w:rPr>
        <w:t>固定资产原值</w:t>
      </w:r>
      <w:r>
        <w:rPr>
          <w:rFonts w:hint="eastAsia" w:ascii="宋体" w:hAnsi="宋体" w:eastAsia="宋体" w:cs="宋体"/>
          <w:sz w:val="28"/>
          <w:szCs w:val="28"/>
          <w:lang w:val="en-US" w:eastAsia="zh-CN"/>
        </w:rPr>
        <w:t>3，684.86</w:t>
      </w:r>
      <w:r>
        <w:rPr>
          <w:rFonts w:hint="eastAsia" w:ascii="宋体" w:hAnsi="宋体" w:eastAsia="宋体" w:cs="宋体"/>
          <w:sz w:val="28"/>
          <w:szCs w:val="28"/>
        </w:rPr>
        <w:t>万元，累计折旧</w:t>
      </w:r>
      <w:r>
        <w:rPr>
          <w:rFonts w:hint="eastAsia" w:ascii="宋体" w:hAnsi="宋体" w:eastAsia="宋体" w:cs="宋体"/>
          <w:sz w:val="28"/>
          <w:szCs w:val="28"/>
          <w:lang w:val="en-US" w:eastAsia="zh-CN"/>
        </w:rPr>
        <w:t>1，512.44</w:t>
      </w:r>
      <w:r>
        <w:rPr>
          <w:rFonts w:hint="eastAsia" w:ascii="宋体" w:hAnsi="宋体" w:eastAsia="宋体" w:cs="宋体"/>
          <w:sz w:val="28"/>
          <w:szCs w:val="28"/>
        </w:rPr>
        <w:t>万元，固定资产净值</w:t>
      </w:r>
      <w:r>
        <w:rPr>
          <w:rFonts w:hint="eastAsia" w:ascii="宋体" w:hAnsi="宋体" w:eastAsia="宋体" w:cs="宋体"/>
          <w:sz w:val="28"/>
          <w:szCs w:val="28"/>
          <w:lang w:val="en-US" w:eastAsia="zh-CN"/>
        </w:rPr>
        <w:t>2，172.42</w:t>
      </w:r>
      <w:r>
        <w:rPr>
          <w:rFonts w:hint="eastAsia" w:ascii="宋体" w:hAnsi="宋体" w:eastAsia="宋体" w:cs="宋体"/>
          <w:sz w:val="28"/>
          <w:szCs w:val="28"/>
        </w:rPr>
        <w:t>元，无形资产</w:t>
      </w:r>
      <w:r>
        <w:rPr>
          <w:rFonts w:ascii="宋体" w:hAnsi="宋体" w:eastAsia="宋体" w:cs="宋体"/>
          <w:sz w:val="28"/>
          <w:szCs w:val="28"/>
        </w:rPr>
        <w:t>5</w:t>
      </w:r>
      <w:r>
        <w:rPr>
          <w:rFonts w:hint="eastAsia" w:ascii="宋体" w:hAnsi="宋体" w:eastAsia="宋体" w:cs="宋体"/>
          <w:sz w:val="28"/>
          <w:szCs w:val="28"/>
          <w:lang w:val="en-US" w:eastAsia="zh-CN"/>
        </w:rPr>
        <w:t>5.07</w:t>
      </w:r>
      <w:r>
        <w:rPr>
          <w:rFonts w:hint="eastAsia" w:ascii="宋体" w:hAnsi="宋体" w:eastAsia="宋体" w:cs="宋体"/>
          <w:sz w:val="28"/>
          <w:szCs w:val="28"/>
        </w:rPr>
        <w:t>万元，其中教学设备</w:t>
      </w:r>
      <w:r>
        <w:rPr>
          <w:rFonts w:hint="eastAsia" w:ascii="宋体" w:hAnsi="宋体" w:eastAsia="宋体" w:cs="宋体"/>
          <w:sz w:val="28"/>
          <w:szCs w:val="28"/>
          <w:lang w:val="en-US" w:eastAsia="zh-CN"/>
        </w:rPr>
        <w:t>1，378.59</w:t>
      </w:r>
      <w:r>
        <w:rPr>
          <w:rFonts w:hint="eastAsia" w:ascii="宋体" w:hAnsi="宋体" w:eastAsia="宋体" w:cs="宋体"/>
          <w:sz w:val="28"/>
          <w:szCs w:val="28"/>
        </w:rPr>
        <w:t>万元。</w:t>
      </w:r>
    </w:p>
    <w:p>
      <w:pPr>
        <w:ind w:firstLine="560" w:firstLineChars="200"/>
        <w:rPr>
          <w:rFonts w:ascii="宋体" w:hAnsi="宋体" w:eastAsia="宋体" w:cs="Times New Roman"/>
          <w:sz w:val="28"/>
          <w:szCs w:val="28"/>
        </w:rPr>
      </w:pPr>
      <w:r>
        <w:rPr>
          <w:rFonts w:ascii="宋体" w:hAnsi="宋体" w:eastAsia="宋体" w:cs="宋体"/>
          <w:sz w:val="28"/>
          <w:szCs w:val="28"/>
        </w:rPr>
        <w:t>6.1.2</w:t>
      </w:r>
      <w:r>
        <w:rPr>
          <w:rFonts w:hint="eastAsia" w:ascii="宋体" w:hAnsi="宋体" w:eastAsia="宋体" w:cs="宋体"/>
          <w:sz w:val="28"/>
          <w:szCs w:val="28"/>
        </w:rPr>
        <w:t>经费情况</w:t>
      </w:r>
    </w:p>
    <w:p>
      <w:pPr>
        <w:ind w:firstLine="560" w:firstLineChars="200"/>
        <w:rPr>
          <w:rFonts w:ascii="宋体" w:hAnsi="宋体" w:eastAsia="宋体" w:cs="Times New Roman"/>
          <w:sz w:val="28"/>
          <w:szCs w:val="28"/>
        </w:rPr>
      </w:pPr>
      <w:r>
        <w:rPr>
          <w:rFonts w:ascii="宋体" w:hAnsi="宋体" w:eastAsia="宋体" w:cs="宋体"/>
          <w:sz w:val="28"/>
          <w:szCs w:val="28"/>
        </w:rPr>
        <w:t>20</w:t>
      </w:r>
      <w:r>
        <w:rPr>
          <w:rFonts w:hint="eastAsia" w:ascii="宋体" w:hAnsi="宋体" w:eastAsia="宋体" w:cs="宋体"/>
          <w:sz w:val="28"/>
          <w:szCs w:val="28"/>
          <w:lang w:val="en-US" w:eastAsia="zh-CN"/>
        </w:rPr>
        <w:t>20</w:t>
      </w:r>
      <w:r>
        <w:rPr>
          <w:rFonts w:hint="eastAsia" w:ascii="宋体" w:hAnsi="宋体" w:eastAsia="宋体" w:cs="宋体"/>
          <w:sz w:val="28"/>
          <w:szCs w:val="28"/>
        </w:rPr>
        <w:t>年经费收入总计</w:t>
      </w:r>
      <w:r>
        <w:rPr>
          <w:rFonts w:hint="eastAsia" w:ascii="宋体" w:hAnsi="宋体" w:eastAsia="宋体" w:cs="宋体"/>
          <w:sz w:val="28"/>
          <w:szCs w:val="28"/>
          <w:lang w:val="en-US" w:eastAsia="zh-CN"/>
        </w:rPr>
        <w:t>1，922.21</w:t>
      </w:r>
      <w:r>
        <w:rPr>
          <w:rFonts w:hint="eastAsia" w:ascii="宋体" w:hAnsi="宋体" w:eastAsia="宋体" w:cs="宋体"/>
          <w:sz w:val="28"/>
          <w:szCs w:val="28"/>
        </w:rPr>
        <w:t>万元，生均拨款</w:t>
      </w:r>
      <w:r>
        <w:rPr>
          <w:rFonts w:hint="eastAsia" w:ascii="宋体" w:hAnsi="宋体" w:eastAsia="宋体" w:cs="宋体"/>
          <w:sz w:val="28"/>
          <w:szCs w:val="28"/>
          <w:lang w:val="en-US" w:eastAsia="zh-CN"/>
        </w:rPr>
        <w:t>7.69</w:t>
      </w:r>
      <w:r>
        <w:rPr>
          <w:rFonts w:hint="eastAsia" w:ascii="宋体" w:hAnsi="宋体" w:eastAsia="宋体" w:cs="宋体"/>
          <w:sz w:val="28"/>
          <w:szCs w:val="28"/>
        </w:rPr>
        <w:t>万元。其中：政策性经费：国家拨职业教育质量提升专项资金</w:t>
      </w:r>
      <w:r>
        <w:rPr>
          <w:rFonts w:hint="eastAsia" w:ascii="宋体" w:hAnsi="宋体" w:eastAsia="宋体" w:cs="宋体"/>
          <w:sz w:val="28"/>
          <w:szCs w:val="28"/>
          <w:lang w:val="en-US" w:eastAsia="zh-CN"/>
        </w:rPr>
        <w:t>294</w:t>
      </w:r>
      <w:r>
        <w:rPr>
          <w:rFonts w:hint="eastAsia" w:ascii="宋体" w:hAnsi="宋体" w:eastAsia="宋体" w:cs="宋体"/>
          <w:sz w:val="28"/>
          <w:szCs w:val="28"/>
        </w:rPr>
        <w:t>万元。学校发展建设投入：基础建设（</w:t>
      </w:r>
      <w:r>
        <w:rPr>
          <w:rFonts w:hint="eastAsia" w:ascii="宋体" w:hAnsi="宋体" w:eastAsia="宋体" w:cs="宋体"/>
          <w:sz w:val="28"/>
          <w:szCs w:val="28"/>
          <w:lang w:eastAsia="zh-CN"/>
        </w:rPr>
        <w:t>校园路面及</w:t>
      </w:r>
      <w:r>
        <w:rPr>
          <w:rFonts w:hint="eastAsia" w:ascii="宋体" w:hAnsi="宋体" w:eastAsia="宋体" w:cs="宋体"/>
          <w:sz w:val="28"/>
          <w:szCs w:val="28"/>
        </w:rPr>
        <w:t>学生宿舍改造）</w:t>
      </w:r>
      <w:r>
        <w:rPr>
          <w:rFonts w:hint="eastAsia" w:ascii="宋体" w:hAnsi="宋体" w:eastAsia="宋体" w:cs="宋体"/>
          <w:sz w:val="28"/>
          <w:szCs w:val="28"/>
          <w:lang w:val="en-US" w:eastAsia="zh-CN"/>
        </w:rPr>
        <w:t>56.98</w:t>
      </w:r>
      <w:r>
        <w:rPr>
          <w:rFonts w:hint="eastAsia" w:ascii="宋体" w:hAnsi="宋体" w:eastAsia="宋体" w:cs="宋体"/>
          <w:sz w:val="28"/>
          <w:szCs w:val="28"/>
        </w:rPr>
        <w:t>万元，教学设备</w:t>
      </w:r>
      <w:r>
        <w:rPr>
          <w:rFonts w:ascii="宋体" w:hAnsi="宋体" w:eastAsia="宋体" w:cs="宋体"/>
          <w:sz w:val="28"/>
          <w:szCs w:val="28"/>
        </w:rPr>
        <w:t>1</w:t>
      </w:r>
      <w:r>
        <w:rPr>
          <w:rFonts w:hint="eastAsia" w:ascii="宋体" w:hAnsi="宋体" w:eastAsia="宋体" w:cs="宋体"/>
          <w:sz w:val="28"/>
          <w:szCs w:val="28"/>
          <w:lang w:val="en-US" w:eastAsia="zh-CN"/>
        </w:rPr>
        <w:t>21.88</w:t>
      </w:r>
      <w:r>
        <w:rPr>
          <w:rFonts w:hint="eastAsia" w:ascii="宋体" w:hAnsi="宋体" w:eastAsia="宋体" w:cs="宋体"/>
          <w:sz w:val="28"/>
          <w:szCs w:val="28"/>
        </w:rPr>
        <w:t>万元。</w:t>
      </w:r>
    </w:p>
    <w:p>
      <w:pPr>
        <w:ind w:firstLine="560" w:firstLineChars="200"/>
        <w:rPr>
          <w:rFonts w:hint="eastAsia" w:ascii="宋体" w:hAnsi="宋体" w:eastAsia="宋体" w:cs="宋体"/>
          <w:sz w:val="28"/>
          <w:szCs w:val="28"/>
        </w:rPr>
      </w:pPr>
      <w:r>
        <w:rPr>
          <w:rFonts w:ascii="宋体" w:hAnsi="宋体" w:eastAsia="宋体" w:cs="宋体"/>
          <w:sz w:val="28"/>
          <w:szCs w:val="28"/>
        </w:rPr>
        <w:t>2019</w:t>
      </w:r>
      <w:r>
        <w:rPr>
          <w:rFonts w:hint="eastAsia" w:ascii="宋体" w:hAnsi="宋体" w:eastAsia="宋体" w:cs="宋体"/>
          <w:sz w:val="28"/>
          <w:szCs w:val="28"/>
        </w:rPr>
        <w:t>年经费收入总计</w:t>
      </w:r>
      <w:r>
        <w:rPr>
          <w:rFonts w:ascii="宋体" w:hAnsi="宋体" w:eastAsia="宋体" w:cs="宋体"/>
          <w:sz w:val="28"/>
          <w:szCs w:val="28"/>
        </w:rPr>
        <w:t>2</w:t>
      </w:r>
      <w:r>
        <w:rPr>
          <w:rFonts w:hint="eastAsia" w:ascii="宋体" w:hAnsi="宋体" w:eastAsia="宋体" w:cs="宋体"/>
          <w:sz w:val="28"/>
          <w:szCs w:val="28"/>
          <w:lang w:eastAsia="zh-CN"/>
        </w:rPr>
        <w:t>，</w:t>
      </w:r>
      <w:r>
        <w:rPr>
          <w:rFonts w:ascii="宋体" w:hAnsi="宋体" w:eastAsia="宋体" w:cs="宋体"/>
          <w:sz w:val="28"/>
          <w:szCs w:val="28"/>
        </w:rPr>
        <w:t>007.59</w:t>
      </w:r>
      <w:r>
        <w:rPr>
          <w:rFonts w:hint="eastAsia" w:ascii="宋体" w:hAnsi="宋体" w:eastAsia="宋体" w:cs="宋体"/>
          <w:sz w:val="28"/>
          <w:szCs w:val="28"/>
        </w:rPr>
        <w:t>万元，生均拨款</w:t>
      </w:r>
      <w:r>
        <w:rPr>
          <w:rFonts w:ascii="宋体" w:hAnsi="宋体" w:eastAsia="宋体" w:cs="宋体"/>
          <w:sz w:val="28"/>
          <w:szCs w:val="28"/>
        </w:rPr>
        <w:t>11.74</w:t>
      </w:r>
      <w:r>
        <w:rPr>
          <w:rFonts w:hint="eastAsia" w:ascii="宋体" w:hAnsi="宋体" w:eastAsia="宋体" w:cs="宋体"/>
          <w:sz w:val="28"/>
          <w:szCs w:val="28"/>
        </w:rPr>
        <w:t>万元。</w:t>
      </w:r>
    </w:p>
    <w:p>
      <w:pPr>
        <w:ind w:firstLine="560" w:firstLineChars="200"/>
        <w:rPr>
          <w:rFonts w:hint="eastAsia" w:ascii="宋体" w:hAnsi="宋体" w:eastAsia="宋体" w:cs="宋体"/>
          <w:sz w:val="28"/>
          <w:szCs w:val="28"/>
        </w:rPr>
      </w:pPr>
    </w:p>
    <w:p>
      <w:pPr>
        <w:jc w:val="center"/>
        <w:rPr>
          <w:rFonts w:ascii="宋体" w:hAnsi="宋体" w:eastAsia="宋体" w:cs="Times New Roman"/>
          <w:b/>
          <w:bCs/>
          <w:kern w:val="0"/>
          <w:sz w:val="24"/>
          <w:szCs w:val="24"/>
        </w:rPr>
      </w:pPr>
      <w:r>
        <w:rPr>
          <w:rFonts w:hint="eastAsia" w:ascii="宋体" w:hAnsi="宋体" w:eastAsia="宋体" w:cs="宋体"/>
          <w:b/>
          <w:bCs/>
          <w:kern w:val="0"/>
          <w:sz w:val="24"/>
          <w:szCs w:val="24"/>
        </w:rPr>
        <w:t>表</w:t>
      </w:r>
      <w:r>
        <w:rPr>
          <w:rFonts w:hint="eastAsia" w:ascii="宋体" w:hAnsi="宋体" w:eastAsia="宋体" w:cs="宋体"/>
          <w:b/>
          <w:bCs/>
          <w:kern w:val="0"/>
          <w:sz w:val="24"/>
          <w:szCs w:val="24"/>
          <w:lang w:val="en-US" w:eastAsia="zh-CN"/>
        </w:rPr>
        <w:t>5</w:t>
      </w:r>
      <w:r>
        <w:rPr>
          <w:rFonts w:hint="eastAsia" w:ascii="宋体" w:hAnsi="宋体" w:eastAsia="宋体" w:cs="宋体"/>
          <w:b/>
          <w:bCs/>
          <w:kern w:val="0"/>
          <w:sz w:val="24"/>
          <w:szCs w:val="24"/>
        </w:rPr>
        <w:t>：近两年中等职业学校教育经费收入情况一览表</w:t>
      </w:r>
    </w:p>
    <w:p>
      <w:pPr>
        <w:jc w:val="right"/>
        <w:rPr>
          <w:rFonts w:ascii="宋体" w:hAnsi="宋体" w:eastAsia="宋体" w:cs="Times New Roman"/>
          <w:sz w:val="28"/>
          <w:szCs w:val="28"/>
        </w:rPr>
      </w:pPr>
      <w:r>
        <w:rPr>
          <w:rFonts w:hint="eastAsia" w:ascii="宋体" w:hAnsi="宋体" w:eastAsia="宋体" w:cs="宋体"/>
          <w:b/>
          <w:bCs/>
          <w:kern w:val="0"/>
          <w:sz w:val="24"/>
          <w:szCs w:val="24"/>
        </w:rPr>
        <w:t>单位</w:t>
      </w:r>
      <w:r>
        <w:rPr>
          <w:rFonts w:ascii="宋体" w:hAnsi="宋体" w:eastAsia="宋体" w:cs="宋体"/>
          <w:b/>
          <w:bCs/>
          <w:kern w:val="0"/>
          <w:sz w:val="24"/>
          <w:szCs w:val="24"/>
        </w:rPr>
        <w:t>:</w:t>
      </w:r>
      <w:r>
        <w:rPr>
          <w:rFonts w:hint="eastAsia" w:ascii="宋体" w:hAnsi="宋体" w:eastAsia="宋体" w:cs="宋体"/>
          <w:b/>
          <w:bCs/>
          <w:kern w:val="0"/>
          <w:sz w:val="24"/>
          <w:szCs w:val="24"/>
        </w:rPr>
        <w:t>万元</w:t>
      </w:r>
    </w:p>
    <w:tbl>
      <w:tblPr>
        <w:tblStyle w:val="11"/>
        <w:tblpPr w:leftFromText="180" w:rightFromText="180" w:vertAnchor="text" w:horzAnchor="margin" w:tblpY="158"/>
        <w:tblOverlap w:val="never"/>
        <w:tblW w:w="9468" w:type="dxa"/>
        <w:tblInd w:w="0" w:type="dxa"/>
        <w:tblLayout w:type="fixed"/>
        <w:tblCellMar>
          <w:top w:w="0" w:type="dxa"/>
          <w:left w:w="108" w:type="dxa"/>
          <w:bottom w:w="0" w:type="dxa"/>
          <w:right w:w="108" w:type="dxa"/>
        </w:tblCellMar>
      </w:tblPr>
      <w:tblGrid>
        <w:gridCol w:w="962"/>
        <w:gridCol w:w="1020"/>
        <w:gridCol w:w="961"/>
        <w:gridCol w:w="993"/>
        <w:gridCol w:w="992"/>
        <w:gridCol w:w="709"/>
        <w:gridCol w:w="850"/>
        <w:gridCol w:w="709"/>
        <w:gridCol w:w="619"/>
        <w:gridCol w:w="753"/>
        <w:gridCol w:w="900"/>
      </w:tblGrid>
      <w:tr>
        <w:tblPrEx>
          <w:tblCellMar>
            <w:top w:w="0" w:type="dxa"/>
            <w:left w:w="108" w:type="dxa"/>
            <w:bottom w:w="0" w:type="dxa"/>
            <w:right w:w="108" w:type="dxa"/>
          </w:tblCellMar>
        </w:tblPrEx>
        <w:trPr>
          <w:trHeight w:val="541" w:hRule="atLeast"/>
        </w:trPr>
        <w:tc>
          <w:tcPr>
            <w:tcW w:w="962" w:type="dxa"/>
            <w:vMerge w:val="restar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kern w:val="0"/>
                <w:sz w:val="18"/>
                <w:szCs w:val="18"/>
              </w:rPr>
            </w:pPr>
            <w:r>
              <w:rPr>
                <w:rFonts w:hint="eastAsia" w:ascii="宋体" w:hAnsi="宋体" w:eastAsia="宋体" w:cs="宋体"/>
                <w:b/>
                <w:bCs/>
                <w:kern w:val="0"/>
                <w:sz w:val="18"/>
                <w:szCs w:val="18"/>
              </w:rPr>
              <w:t>年度</w:t>
            </w:r>
          </w:p>
        </w:tc>
        <w:tc>
          <w:tcPr>
            <w:tcW w:w="1020" w:type="dxa"/>
            <w:vMerge w:val="restar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kern w:val="0"/>
                <w:sz w:val="18"/>
                <w:szCs w:val="18"/>
              </w:rPr>
            </w:pPr>
            <w:r>
              <w:rPr>
                <w:rFonts w:hint="eastAsia" w:ascii="宋体" w:hAnsi="宋体" w:eastAsia="宋体" w:cs="宋体"/>
                <w:b/>
                <w:bCs/>
                <w:kern w:val="0"/>
                <w:sz w:val="18"/>
                <w:szCs w:val="18"/>
              </w:rPr>
              <w:t>总计</w:t>
            </w:r>
          </w:p>
        </w:tc>
        <w:tc>
          <w:tcPr>
            <w:tcW w:w="4505" w:type="dxa"/>
            <w:gridSpan w:val="5"/>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kern w:val="0"/>
                <w:sz w:val="18"/>
                <w:szCs w:val="18"/>
              </w:rPr>
            </w:pPr>
            <w:r>
              <w:rPr>
                <w:rFonts w:hint="eastAsia" w:ascii="宋体" w:hAnsi="宋体" w:eastAsia="宋体" w:cs="宋体"/>
                <w:b/>
                <w:bCs/>
                <w:kern w:val="0"/>
                <w:sz w:val="18"/>
                <w:szCs w:val="18"/>
              </w:rPr>
              <w:t>国家财政性教育经费</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2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民办学校举办者投入</w:t>
            </w:r>
          </w:p>
        </w:tc>
        <w:tc>
          <w:tcPr>
            <w:tcW w:w="61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2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捐赠收入</w:t>
            </w:r>
          </w:p>
        </w:tc>
        <w:tc>
          <w:tcPr>
            <w:tcW w:w="753"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2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事业收入</w:t>
            </w:r>
          </w:p>
        </w:tc>
        <w:tc>
          <w:tcPr>
            <w:tcW w:w="900"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2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其他教育经费</w:t>
            </w:r>
          </w:p>
        </w:tc>
      </w:tr>
      <w:tr>
        <w:tblPrEx>
          <w:tblCellMar>
            <w:top w:w="0" w:type="dxa"/>
            <w:left w:w="108" w:type="dxa"/>
            <w:bottom w:w="0" w:type="dxa"/>
            <w:right w:w="108" w:type="dxa"/>
          </w:tblCellMar>
        </w:tblPrEx>
        <w:trPr>
          <w:trHeight w:val="415" w:hRule="atLeast"/>
        </w:trPr>
        <w:tc>
          <w:tcPr>
            <w:tcW w:w="962"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102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61" w:type="dxa"/>
            <w:vMerge w:val="restar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b/>
                <w:bCs/>
                <w:kern w:val="0"/>
                <w:sz w:val="18"/>
                <w:szCs w:val="18"/>
              </w:rPr>
            </w:pPr>
            <w:r>
              <w:rPr>
                <w:rFonts w:hint="eastAsia" w:ascii="宋体" w:hAnsi="宋体" w:eastAsia="宋体" w:cs="宋体"/>
                <w:b/>
                <w:bCs/>
                <w:kern w:val="0"/>
                <w:sz w:val="18"/>
                <w:szCs w:val="18"/>
              </w:rPr>
              <w:t>合计</w:t>
            </w:r>
          </w:p>
        </w:tc>
        <w:tc>
          <w:tcPr>
            <w:tcW w:w="2694" w:type="dxa"/>
            <w:gridSpan w:val="3"/>
            <w:tcBorders>
              <w:top w:val="single" w:color="auto" w:sz="4" w:space="0"/>
              <w:left w:val="single" w:color="auto" w:sz="4" w:space="0"/>
              <w:bottom w:val="single" w:color="auto" w:sz="4" w:space="0"/>
              <w:right w:val="single" w:color="auto" w:sz="4" w:space="0"/>
            </w:tcBorders>
            <w:vAlign w:val="center"/>
          </w:tcPr>
          <w:p>
            <w:pPr>
              <w:widowControl/>
              <w:spacing w:line="24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公共财政预算安排的教育经费</w:t>
            </w:r>
          </w:p>
        </w:tc>
        <w:tc>
          <w:tcPr>
            <w:tcW w:w="850"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政府性基金预算安排的教育经费</w:t>
            </w: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619"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753"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0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r>
      <w:tr>
        <w:tblPrEx>
          <w:tblCellMar>
            <w:top w:w="0" w:type="dxa"/>
            <w:left w:w="108" w:type="dxa"/>
            <w:bottom w:w="0" w:type="dxa"/>
            <w:right w:w="108" w:type="dxa"/>
          </w:tblCellMar>
        </w:tblPrEx>
        <w:trPr>
          <w:trHeight w:val="952" w:hRule="atLeast"/>
        </w:trPr>
        <w:tc>
          <w:tcPr>
            <w:tcW w:w="962"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102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61"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9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小计</w:t>
            </w:r>
          </w:p>
        </w:tc>
        <w:tc>
          <w:tcPr>
            <w:tcW w:w="992"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公共财政教育经费</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exact"/>
              <w:jc w:val="center"/>
              <w:rPr>
                <w:rFonts w:ascii="宋体" w:hAnsi="宋体" w:eastAsia="宋体" w:cs="Times New Roman"/>
                <w:b/>
                <w:bCs/>
                <w:kern w:val="0"/>
                <w:sz w:val="18"/>
                <w:szCs w:val="18"/>
              </w:rPr>
            </w:pPr>
            <w:r>
              <w:rPr>
                <w:rFonts w:hint="eastAsia" w:ascii="宋体" w:hAnsi="宋体" w:eastAsia="宋体" w:cs="宋体"/>
                <w:b/>
                <w:bCs/>
                <w:kern w:val="0"/>
                <w:sz w:val="18"/>
                <w:szCs w:val="18"/>
              </w:rPr>
              <w:t>其他公共财政预算安排</w:t>
            </w:r>
          </w:p>
        </w:tc>
        <w:tc>
          <w:tcPr>
            <w:tcW w:w="85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619"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753"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0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r>
      <w:tr>
        <w:tblPrEx>
          <w:tblCellMar>
            <w:top w:w="0" w:type="dxa"/>
            <w:left w:w="108" w:type="dxa"/>
            <w:bottom w:w="0" w:type="dxa"/>
            <w:right w:w="108" w:type="dxa"/>
          </w:tblCellMar>
        </w:tblPrEx>
        <w:trPr>
          <w:trHeight w:val="312" w:hRule="atLeast"/>
        </w:trPr>
        <w:tc>
          <w:tcPr>
            <w:tcW w:w="962"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102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61"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85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619"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753"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c>
          <w:tcPr>
            <w:tcW w:w="90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sz w:val="20"/>
                <w:szCs w:val="20"/>
              </w:rPr>
            </w:pPr>
          </w:p>
        </w:tc>
      </w:tr>
      <w:tr>
        <w:tblPrEx>
          <w:tblCellMar>
            <w:top w:w="0" w:type="dxa"/>
            <w:left w:w="108" w:type="dxa"/>
            <w:bottom w:w="0" w:type="dxa"/>
            <w:right w:w="108" w:type="dxa"/>
          </w:tblCellMar>
        </w:tblPrEx>
        <w:trPr>
          <w:trHeight w:val="514" w:hRule="exact"/>
        </w:trPr>
        <w:tc>
          <w:tcPr>
            <w:tcW w:w="962"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kern w:val="0"/>
                <w:sz w:val="21"/>
                <w:szCs w:val="21"/>
              </w:rPr>
            </w:pPr>
            <w:r>
              <w:rPr>
                <w:rFonts w:ascii="宋体" w:hAnsi="宋体" w:eastAsia="宋体" w:cs="宋体"/>
                <w:kern w:val="0"/>
                <w:sz w:val="21"/>
                <w:szCs w:val="21"/>
              </w:rPr>
              <w:t>2019</w:t>
            </w:r>
            <w:r>
              <w:rPr>
                <w:rFonts w:hint="eastAsia" w:ascii="宋体" w:hAnsi="宋体" w:eastAsia="宋体" w:cs="宋体"/>
                <w:kern w:val="0"/>
                <w:sz w:val="21"/>
                <w:szCs w:val="21"/>
              </w:rPr>
              <w:t>年</w:t>
            </w:r>
          </w:p>
        </w:tc>
        <w:tc>
          <w:tcPr>
            <w:tcW w:w="102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eastAsia="宋体" w:cs="宋体"/>
                <w:kern w:val="0"/>
                <w:sz w:val="21"/>
                <w:szCs w:val="21"/>
              </w:rPr>
            </w:pPr>
            <w:r>
              <w:rPr>
                <w:rFonts w:ascii="宋体" w:hAnsi="宋体" w:eastAsia="宋体" w:cs="宋体"/>
                <w:kern w:val="0"/>
                <w:sz w:val="21"/>
                <w:szCs w:val="21"/>
              </w:rPr>
              <w:t>2007.59</w:t>
            </w:r>
          </w:p>
        </w:tc>
        <w:tc>
          <w:tcPr>
            <w:tcW w:w="96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eastAsia="宋体" w:cs="Times New Roman"/>
                <w:kern w:val="0"/>
                <w:sz w:val="21"/>
                <w:szCs w:val="21"/>
              </w:rPr>
            </w:pPr>
            <w:r>
              <w:rPr>
                <w:rFonts w:ascii="宋体" w:hAnsi="宋体" w:eastAsia="宋体" w:cs="宋体"/>
                <w:kern w:val="0"/>
                <w:sz w:val="21"/>
                <w:szCs w:val="21"/>
              </w:rPr>
              <w:t>1645.27</w:t>
            </w:r>
          </w:p>
        </w:tc>
        <w:tc>
          <w:tcPr>
            <w:tcW w:w="99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eastAsia="宋体" w:cs="宋体"/>
                <w:kern w:val="0"/>
                <w:sz w:val="21"/>
                <w:szCs w:val="21"/>
              </w:rPr>
            </w:pPr>
            <w:r>
              <w:rPr>
                <w:rFonts w:ascii="宋体" w:hAnsi="宋体" w:eastAsia="宋体" w:cs="宋体"/>
                <w:kern w:val="0"/>
                <w:sz w:val="21"/>
                <w:szCs w:val="21"/>
              </w:rPr>
              <w:t>1645.27</w:t>
            </w:r>
          </w:p>
        </w:tc>
        <w:tc>
          <w:tcPr>
            <w:tcW w:w="99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eastAsia="宋体" w:cs="宋体"/>
                <w:kern w:val="0"/>
                <w:sz w:val="21"/>
                <w:szCs w:val="21"/>
              </w:rPr>
            </w:pPr>
            <w:r>
              <w:rPr>
                <w:rFonts w:ascii="宋体" w:hAnsi="宋体" w:eastAsia="宋体" w:cs="宋体"/>
                <w:kern w:val="0"/>
                <w:sz w:val="21"/>
                <w:szCs w:val="21"/>
              </w:rPr>
              <w:t>1645.27</w:t>
            </w:r>
          </w:p>
        </w:tc>
        <w:tc>
          <w:tcPr>
            <w:tcW w:w="70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cs="Times New Roman"/>
                <w:kern w:val="0"/>
                <w:sz w:val="21"/>
                <w:szCs w:val="21"/>
              </w:rPr>
            </w:pPr>
          </w:p>
        </w:tc>
        <w:tc>
          <w:tcPr>
            <w:tcW w:w="85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cs="Times New Roman"/>
                <w:kern w:val="0"/>
                <w:sz w:val="21"/>
                <w:szCs w:val="21"/>
              </w:rPr>
            </w:pPr>
          </w:p>
        </w:tc>
        <w:tc>
          <w:tcPr>
            <w:tcW w:w="70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cs="Times New Roman"/>
                <w:kern w:val="0"/>
                <w:sz w:val="21"/>
                <w:szCs w:val="21"/>
              </w:rPr>
            </w:pPr>
          </w:p>
        </w:tc>
        <w:tc>
          <w:tcPr>
            <w:tcW w:w="61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cs="Times New Roman"/>
                <w:kern w:val="0"/>
                <w:sz w:val="21"/>
                <w:szCs w:val="21"/>
              </w:rPr>
            </w:pPr>
          </w:p>
        </w:tc>
        <w:tc>
          <w:tcPr>
            <w:tcW w:w="7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eastAsia="宋体" w:cs="Times New Roman"/>
                <w:kern w:val="0"/>
                <w:sz w:val="21"/>
                <w:szCs w:val="21"/>
              </w:rPr>
            </w:pPr>
            <w:r>
              <w:rPr>
                <w:rFonts w:ascii="宋体" w:hAnsi="宋体" w:eastAsia="宋体" w:cs="宋体"/>
                <w:kern w:val="0"/>
                <w:sz w:val="21"/>
                <w:szCs w:val="21"/>
              </w:rPr>
              <w:t>24.54</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eastAsia="宋体" w:cs="Times New Roman"/>
                <w:kern w:val="0"/>
                <w:sz w:val="21"/>
                <w:szCs w:val="21"/>
              </w:rPr>
            </w:pPr>
            <w:r>
              <w:rPr>
                <w:rFonts w:ascii="宋体" w:hAnsi="宋体" w:eastAsia="宋体" w:cs="宋体"/>
                <w:kern w:val="0"/>
                <w:sz w:val="21"/>
                <w:szCs w:val="21"/>
              </w:rPr>
              <w:t>337.78</w:t>
            </w:r>
          </w:p>
        </w:tc>
      </w:tr>
      <w:tr>
        <w:tblPrEx>
          <w:tblCellMar>
            <w:top w:w="0" w:type="dxa"/>
            <w:left w:w="108" w:type="dxa"/>
            <w:bottom w:w="0" w:type="dxa"/>
            <w:right w:w="108" w:type="dxa"/>
          </w:tblCellMar>
        </w:tblPrEx>
        <w:trPr>
          <w:trHeight w:val="624" w:hRule="exact"/>
        </w:trPr>
        <w:tc>
          <w:tcPr>
            <w:tcW w:w="962"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eastAsia="宋体" w:cs="Times New Roman"/>
                <w:kern w:val="0"/>
                <w:sz w:val="21"/>
                <w:szCs w:val="21"/>
              </w:rPr>
            </w:pPr>
            <w:r>
              <w:rPr>
                <w:rFonts w:ascii="宋体" w:hAnsi="宋体" w:eastAsia="宋体" w:cs="宋体"/>
                <w:kern w:val="0"/>
                <w:sz w:val="21"/>
                <w:szCs w:val="21"/>
              </w:rPr>
              <w:t>20</w:t>
            </w:r>
            <w:r>
              <w:rPr>
                <w:rFonts w:hint="eastAsia" w:ascii="宋体" w:hAnsi="宋体" w:eastAsia="宋体" w:cs="宋体"/>
                <w:kern w:val="0"/>
                <w:sz w:val="21"/>
                <w:szCs w:val="21"/>
                <w:lang w:val="en-US" w:eastAsia="zh-CN"/>
              </w:rPr>
              <w:t>20</w:t>
            </w:r>
            <w:r>
              <w:rPr>
                <w:rFonts w:hint="eastAsia" w:ascii="宋体" w:hAnsi="宋体" w:eastAsia="宋体" w:cs="宋体"/>
                <w:kern w:val="0"/>
                <w:sz w:val="21"/>
                <w:szCs w:val="21"/>
              </w:rPr>
              <w:t>年</w:t>
            </w:r>
          </w:p>
        </w:tc>
        <w:tc>
          <w:tcPr>
            <w:tcW w:w="102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1922.21</w:t>
            </w:r>
          </w:p>
        </w:tc>
        <w:tc>
          <w:tcPr>
            <w:tcW w:w="96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1505.13</w:t>
            </w:r>
          </w:p>
        </w:tc>
        <w:tc>
          <w:tcPr>
            <w:tcW w:w="99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1505.13</w:t>
            </w:r>
          </w:p>
        </w:tc>
        <w:tc>
          <w:tcPr>
            <w:tcW w:w="99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1505.13</w:t>
            </w:r>
          </w:p>
        </w:tc>
        <w:tc>
          <w:tcPr>
            <w:tcW w:w="70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cs="Times New Roman"/>
                <w:kern w:val="0"/>
                <w:sz w:val="21"/>
                <w:szCs w:val="21"/>
              </w:rPr>
            </w:pPr>
          </w:p>
        </w:tc>
        <w:tc>
          <w:tcPr>
            <w:tcW w:w="85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cs="Times New Roman"/>
                <w:kern w:val="0"/>
                <w:sz w:val="21"/>
                <w:szCs w:val="21"/>
              </w:rPr>
            </w:pPr>
          </w:p>
        </w:tc>
        <w:tc>
          <w:tcPr>
            <w:tcW w:w="70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cs="Times New Roman"/>
                <w:kern w:val="0"/>
                <w:sz w:val="21"/>
                <w:szCs w:val="21"/>
              </w:rPr>
            </w:pPr>
          </w:p>
        </w:tc>
        <w:tc>
          <w:tcPr>
            <w:tcW w:w="61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cs="Times New Roman"/>
                <w:kern w:val="0"/>
                <w:sz w:val="21"/>
                <w:szCs w:val="21"/>
              </w:rPr>
            </w:pPr>
          </w:p>
        </w:tc>
        <w:tc>
          <w:tcPr>
            <w:tcW w:w="7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宋体" w:hAnsi="宋体" w:eastAsia="宋体" w:cs="Times New Roman"/>
                <w:kern w:val="0"/>
                <w:sz w:val="21"/>
                <w:szCs w:val="21"/>
                <w:lang w:val="en-US" w:eastAsia="zh-CN"/>
              </w:rPr>
            </w:pPr>
            <w:r>
              <w:rPr>
                <w:rFonts w:hint="eastAsia" w:ascii="宋体" w:hAnsi="宋体" w:eastAsia="宋体" w:cs="Times New Roman"/>
                <w:kern w:val="0"/>
                <w:sz w:val="21"/>
                <w:szCs w:val="21"/>
                <w:lang w:val="en-US" w:eastAsia="zh-CN"/>
              </w:rPr>
              <w:t>69.81</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宋体" w:hAnsi="宋体" w:eastAsia="宋体" w:cs="Times New Roman"/>
                <w:kern w:val="0"/>
                <w:sz w:val="21"/>
                <w:szCs w:val="21"/>
                <w:lang w:val="en-US" w:eastAsia="zh-CN"/>
              </w:rPr>
            </w:pPr>
            <w:r>
              <w:rPr>
                <w:rFonts w:hint="eastAsia" w:ascii="宋体" w:hAnsi="宋体" w:eastAsia="宋体" w:cs="宋体"/>
                <w:kern w:val="0"/>
                <w:sz w:val="21"/>
                <w:szCs w:val="21"/>
                <w:lang w:val="en-US" w:eastAsia="zh-CN"/>
              </w:rPr>
              <w:t>347.27</w:t>
            </w:r>
          </w:p>
        </w:tc>
      </w:tr>
    </w:tbl>
    <w:p>
      <w:pPr>
        <w:pStyle w:val="3"/>
        <w:spacing w:before="0" w:after="0" w:line="240" w:lineRule="auto"/>
        <w:ind w:firstLine="560" w:firstLineChars="200"/>
        <w:rPr>
          <w:rFonts w:ascii="宋体" w:hAnsi="宋体" w:eastAsia="宋体" w:cs="Times New Roman"/>
          <w:b w:val="0"/>
          <w:bCs w:val="0"/>
          <w:sz w:val="28"/>
          <w:szCs w:val="28"/>
        </w:rPr>
      </w:pPr>
      <w:bookmarkStart w:id="38" w:name="_Toc34123296"/>
      <w:r>
        <w:rPr>
          <w:rFonts w:ascii="宋体" w:hAnsi="宋体" w:eastAsia="宋体" w:cs="宋体"/>
          <w:b w:val="0"/>
          <w:bCs w:val="0"/>
          <w:sz w:val="28"/>
          <w:szCs w:val="28"/>
        </w:rPr>
        <w:t>6.2</w:t>
      </w:r>
      <w:r>
        <w:rPr>
          <w:rFonts w:hint="eastAsia" w:ascii="宋体" w:hAnsi="宋体" w:eastAsia="宋体" w:cs="宋体"/>
          <w:b w:val="0"/>
          <w:bCs w:val="0"/>
          <w:sz w:val="28"/>
          <w:szCs w:val="28"/>
        </w:rPr>
        <w:t>政策措施</w:t>
      </w:r>
      <w:bookmarkEnd w:id="38"/>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444"/>
        <w:jc w:val="both"/>
        <w:rPr>
          <w:rFonts w:hint="eastAsia" w:ascii="宋体" w:hAnsi="宋体" w:eastAsia="宋体" w:cs="宋体"/>
          <w:kern w:val="2"/>
          <w:sz w:val="28"/>
          <w:szCs w:val="28"/>
          <w:lang w:val="en-US" w:eastAsia="zh-CN" w:bidi="ar-SA"/>
        </w:rPr>
      </w:pPr>
      <w:bookmarkStart w:id="39" w:name="_Toc34123297"/>
      <w:r>
        <w:rPr>
          <w:rFonts w:hint="eastAsia" w:cs="宋体"/>
          <w:kern w:val="2"/>
          <w:sz w:val="28"/>
          <w:szCs w:val="28"/>
          <w:lang w:val="en-US" w:eastAsia="zh-CN" w:bidi="ar-SA"/>
        </w:rPr>
        <w:t>学校</w:t>
      </w:r>
      <w:r>
        <w:rPr>
          <w:rFonts w:hint="eastAsia" w:ascii="宋体" w:hAnsi="宋体" w:eastAsia="宋体" w:cs="宋体"/>
          <w:kern w:val="2"/>
          <w:sz w:val="28"/>
          <w:szCs w:val="28"/>
          <w:lang w:val="en-US" w:eastAsia="zh-CN" w:bidi="ar-SA"/>
        </w:rPr>
        <w:t>围绕职教20条多次召开专题会议</w:t>
      </w:r>
      <w:r>
        <w:rPr>
          <w:rFonts w:hint="eastAsia" w:cs="宋体"/>
          <w:kern w:val="2"/>
          <w:sz w:val="28"/>
          <w:szCs w:val="28"/>
          <w:lang w:val="en-US" w:eastAsia="zh-CN" w:bidi="ar-SA"/>
        </w:rPr>
        <w:t>研究职业</w:t>
      </w:r>
      <w:r>
        <w:rPr>
          <w:rFonts w:hint="eastAsia" w:ascii="宋体" w:hAnsi="宋体" w:eastAsia="宋体" w:cs="宋体"/>
          <w:kern w:val="2"/>
          <w:sz w:val="28"/>
          <w:szCs w:val="28"/>
          <w:lang w:val="en-US" w:eastAsia="zh-CN" w:bidi="ar-SA"/>
        </w:rPr>
        <w:t>教育的发展和改革,紧紧抓住“职教20条”这一历史机遇,打破发展中的新瓶颈</w:t>
      </w:r>
      <w:r>
        <w:rPr>
          <w:rFonts w:hint="eastAsia" w:cs="宋体"/>
          <w:kern w:val="2"/>
          <w:sz w:val="28"/>
          <w:szCs w:val="28"/>
          <w:lang w:val="en-US" w:eastAsia="zh-CN" w:bidi="ar-SA"/>
        </w:rPr>
        <w:t>，</w:t>
      </w:r>
      <w:r>
        <w:rPr>
          <w:rFonts w:hint="eastAsia" w:ascii="宋体" w:hAnsi="宋体" w:eastAsia="宋体" w:cs="宋体"/>
          <w:kern w:val="2"/>
          <w:sz w:val="28"/>
          <w:szCs w:val="28"/>
          <w:lang w:val="en-US" w:eastAsia="zh-CN" w:bidi="ar-SA"/>
        </w:rPr>
        <w:t>实现整体提升。学校积极建构德智体美劳全面发展的人才培养体系,扎扎实实开展教学改革,把行业企业的标准转化为教育教学的目标和行动,通过项目式、任务式教学切实为学生提供有用、有趣、有效的课堂,全面提高人才培养质量,以高质量的人才培养满足人民群众对职业教育的新期</w:t>
      </w:r>
      <w:r>
        <w:rPr>
          <w:rFonts w:hint="eastAsia" w:cs="宋体"/>
          <w:kern w:val="2"/>
          <w:sz w:val="28"/>
          <w:szCs w:val="28"/>
          <w:lang w:val="en-US" w:eastAsia="zh-CN" w:bidi="ar-SA"/>
        </w:rPr>
        <w:t>待</w:t>
      </w:r>
      <w:r>
        <w:rPr>
          <w:rFonts w:hint="eastAsia" w:ascii="宋体" w:hAnsi="宋体" w:eastAsia="宋体" w:cs="宋体"/>
          <w:kern w:val="2"/>
          <w:sz w:val="28"/>
          <w:szCs w:val="28"/>
          <w:lang w:val="en-US" w:eastAsia="zh-CN" w:bidi="ar-SA"/>
        </w:rPr>
        <w:t>。</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444"/>
        <w:jc w:val="both"/>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一是做好中长期规划，制定具体实施措施，着力培养学生的创新精神和实践能力，将“立德树人”和素质教育落到实处。建立督导落实机制，将素质教育贯穿于每学年、每学期的学校教学计划和课程组教学计划之中，形成齐抓共管的工作格局。二是建立校企共同研究制定人才培养方案的机制，及时将新技术、新工艺、新规范纳入教学标准和教学内容。建立专业动态调整机制，健全专业教学资源库，扩大优质资源覆盖面，使用新型教材并配套开发信息化资源，及时更新专业教材。三是全面加强校企深度合作。主动和具备条件的企业在人才培养、技术创新、就业创业、社会服务、文化传承等方面开展合作，要支持企业利用资本、技术、知识、设施、设备和管理等要素参与校企合作。四是借助于我省“双</w:t>
      </w:r>
      <w:r>
        <w:rPr>
          <w:rFonts w:hint="eastAsia" w:cs="宋体"/>
          <w:kern w:val="2"/>
          <w:sz w:val="28"/>
          <w:szCs w:val="28"/>
          <w:lang w:val="en-US" w:eastAsia="zh-CN" w:bidi="ar-SA"/>
        </w:rPr>
        <w:t>优</w:t>
      </w:r>
      <w:r>
        <w:rPr>
          <w:rFonts w:hint="eastAsia" w:ascii="宋体" w:hAnsi="宋体" w:eastAsia="宋体" w:cs="宋体"/>
          <w:kern w:val="2"/>
          <w:sz w:val="28"/>
          <w:szCs w:val="28"/>
          <w:lang w:val="en-US" w:eastAsia="zh-CN" w:bidi="ar-SA"/>
        </w:rPr>
        <w:t>”建设项目，统筹多种资源，加强与</w:t>
      </w:r>
      <w:r>
        <w:rPr>
          <w:rFonts w:hint="eastAsia" w:cs="宋体"/>
          <w:kern w:val="2"/>
          <w:sz w:val="28"/>
          <w:szCs w:val="28"/>
          <w:lang w:val="en-US" w:eastAsia="zh-CN" w:bidi="ar-SA"/>
        </w:rPr>
        <w:t>省</w:t>
      </w:r>
      <w:r>
        <w:rPr>
          <w:rFonts w:hint="eastAsia" w:ascii="宋体" w:hAnsi="宋体" w:eastAsia="宋体" w:cs="宋体"/>
          <w:kern w:val="2"/>
          <w:sz w:val="28"/>
          <w:szCs w:val="28"/>
          <w:lang w:val="en-US" w:eastAsia="zh-CN" w:bidi="ar-SA"/>
        </w:rPr>
        <w:t>内</w:t>
      </w:r>
      <w:r>
        <w:rPr>
          <w:rFonts w:hint="eastAsia" w:cs="宋体"/>
          <w:kern w:val="2"/>
          <w:sz w:val="28"/>
          <w:szCs w:val="28"/>
          <w:lang w:val="en-US" w:eastAsia="zh-CN" w:bidi="ar-SA"/>
        </w:rPr>
        <w:t>行业优质</w:t>
      </w:r>
      <w:r>
        <w:rPr>
          <w:rFonts w:hint="eastAsia" w:ascii="宋体" w:hAnsi="宋体" w:eastAsia="宋体" w:cs="宋体"/>
          <w:kern w:val="2"/>
          <w:sz w:val="28"/>
          <w:szCs w:val="28"/>
          <w:lang w:val="en-US" w:eastAsia="zh-CN" w:bidi="ar-SA"/>
        </w:rPr>
        <w:t>企业的合作交流，提升重点专业建设和校企合作育人水平，做到优质资源共享。</w:t>
      </w:r>
    </w:p>
    <w:p>
      <w:pPr>
        <w:pStyle w:val="2"/>
        <w:spacing w:before="0" w:after="0" w:line="240" w:lineRule="auto"/>
        <w:ind w:firstLine="640" w:firstLineChars="200"/>
        <w:rPr>
          <w:rFonts w:ascii="黑体" w:hAnsi="黑体" w:eastAsia="黑体" w:cs="Times New Roman"/>
          <w:b w:val="0"/>
          <w:bCs w:val="0"/>
          <w:sz w:val="32"/>
          <w:szCs w:val="32"/>
        </w:rPr>
      </w:pPr>
      <w:r>
        <w:rPr>
          <w:rFonts w:ascii="黑体" w:hAnsi="黑体" w:eastAsia="黑体" w:cs="黑体"/>
          <w:b w:val="0"/>
          <w:bCs w:val="0"/>
          <w:sz w:val="32"/>
          <w:szCs w:val="32"/>
        </w:rPr>
        <w:t>7.</w:t>
      </w:r>
      <w:r>
        <w:rPr>
          <w:rFonts w:hint="eastAsia" w:ascii="黑体" w:hAnsi="黑体" w:eastAsia="黑体" w:cs="黑体"/>
          <w:b w:val="0"/>
          <w:bCs w:val="0"/>
          <w:sz w:val="32"/>
          <w:szCs w:val="32"/>
        </w:rPr>
        <w:t>特色创新（案例）</w:t>
      </w:r>
      <w:bookmarkEnd w:id="39"/>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68" w:afterAutospacing="0" w:line="17" w:lineRule="atLeast"/>
        <w:ind w:left="0" w:right="0" w:firstLine="562" w:firstLineChars="200"/>
        <w:rPr>
          <w:rFonts w:hint="eastAsia" w:ascii="宋体" w:hAnsi="宋体" w:eastAsia="宋体" w:cs="宋体"/>
          <w:b/>
          <w:bCs/>
          <w:kern w:val="2"/>
          <w:sz w:val="28"/>
          <w:szCs w:val="28"/>
          <w:lang w:val="en-US" w:eastAsia="zh-CN" w:bidi="ar-SA"/>
        </w:rPr>
      </w:pPr>
      <w:r>
        <w:rPr>
          <w:rFonts w:hint="eastAsia" w:ascii="宋体" w:hAnsi="宋体" w:eastAsia="宋体" w:cs="宋体"/>
          <w:b/>
          <w:bCs/>
          <w:sz w:val="28"/>
          <w:szCs w:val="28"/>
        </w:rPr>
        <w:t>案例一：</w:t>
      </w:r>
      <w:r>
        <w:rPr>
          <w:rFonts w:hint="eastAsia" w:ascii="宋体" w:hAnsi="宋体" w:eastAsia="宋体" w:cs="宋体"/>
          <w:b/>
          <w:bCs/>
          <w:kern w:val="2"/>
          <w:sz w:val="28"/>
          <w:szCs w:val="28"/>
          <w:lang w:val="en-US" w:eastAsia="zh-CN" w:bidi="ar-SA"/>
        </w:rPr>
        <w:t>课堂“走云端” 师生“网上见”</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281" w:firstLineChars="100"/>
        <w:jc w:val="both"/>
        <w:rPr>
          <w:rFonts w:hint="eastAsia" w:cs="宋体"/>
          <w:kern w:val="2"/>
          <w:sz w:val="28"/>
          <w:szCs w:val="28"/>
          <w:lang w:val="en-US" w:eastAsia="zh-CN" w:bidi="ar-SA"/>
        </w:rPr>
      </w:pPr>
      <w:r>
        <w:rPr>
          <w:rFonts w:hint="eastAsia" w:ascii="宋体" w:hAnsi="宋体" w:eastAsia="宋体" w:cs="宋体"/>
          <w:b/>
          <w:bCs/>
          <w:kern w:val="2"/>
          <w:sz w:val="28"/>
          <w:szCs w:val="28"/>
          <w:lang w:val="en-US" w:eastAsia="zh-CN" w:bidi="ar-SA"/>
        </w:rPr>
        <w:t xml:space="preserve"> </w:t>
      </w:r>
      <w:r>
        <w:rPr>
          <w:rFonts w:hint="eastAsia" w:cs="宋体"/>
          <w:kern w:val="2"/>
          <w:sz w:val="28"/>
          <w:szCs w:val="28"/>
          <w:lang w:val="en-US" w:eastAsia="zh-CN" w:bidi="ar-SA"/>
        </w:rPr>
        <w:t xml:space="preserve"> 2020年春季新冠疫情爆发，在黑龙江省教育厅发出“停课不停学、停课不停教”的要求后，黑龙江省工程学校迅速行动起来，学校党委针对线上教学多次召开会议，认真贯彻上级教育主管部门工作要求，为保证学校教学工作有序运行、成立了疫情工作领导小组，下设教学保障组，由教务科和各教研组负责开展具体工作。</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444"/>
        <w:jc w:val="both"/>
        <w:rPr>
          <w:rFonts w:hint="eastAsia" w:cs="宋体"/>
          <w:kern w:val="2"/>
          <w:sz w:val="28"/>
          <w:szCs w:val="28"/>
          <w:lang w:val="en-US" w:eastAsia="zh-CN" w:bidi="ar-SA"/>
        </w:rPr>
      </w:pPr>
      <w:r>
        <w:rPr>
          <w:rFonts w:hint="eastAsia" w:cs="宋体"/>
          <w:kern w:val="2"/>
          <w:sz w:val="28"/>
          <w:szCs w:val="28"/>
          <w:lang w:val="en-US" w:eastAsia="zh-CN" w:bidi="ar-SA"/>
        </w:rPr>
        <w:t>本着“停课不停教、停课不停学”、“防疫教学两不误”、“一校一策”的原则，制定了《黑龙江省工程学校线上教学工作实施方案》，决定采取线上教学和网络互动方式正常实施教学计划，明确了线上教学工作要求及延期开学期间各项教学工作的实施方法、程序，层层压实责任，强调细化落实。各教学部门根据方案分别制定实施细则，各司其职，具体落实，做到保障有序，重点突出。</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444"/>
        <w:jc w:val="both"/>
        <w:rPr>
          <w:rFonts w:hint="eastAsia" w:cs="宋体"/>
          <w:kern w:val="2"/>
          <w:sz w:val="28"/>
          <w:szCs w:val="28"/>
          <w:lang w:val="en-US" w:eastAsia="zh-CN" w:bidi="ar-SA"/>
        </w:rPr>
      </w:pPr>
      <w:r>
        <w:rPr>
          <w:rFonts w:hint="eastAsia" w:cs="宋体"/>
          <w:kern w:val="2"/>
          <w:sz w:val="28"/>
          <w:szCs w:val="28"/>
          <w:lang w:val="en-US" w:eastAsia="zh-CN" w:bidi="ar-SA"/>
        </w:rPr>
        <w:t>钉钉线上教学共覆盖4个专业，开设课程34门，授课班级9个，在线人数达240多人，全体师生以云端网络授课学习的方式，上下一心，对抗疫情，共克时艰。</w:t>
      </w:r>
    </w:p>
    <w:p>
      <w:pPr>
        <w:rPr>
          <w:rFonts w:hint="default"/>
          <w:lang w:val="en-US" w:eastAsia="zh-CN"/>
        </w:rPr>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48275" cy="3848100"/>
            <wp:effectExtent l="0" t="0" r="9525" b="7620"/>
            <wp:docPr id="3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descr="IMG_256"/>
                    <pic:cNvPicPr>
                      <a:picLocks noChangeAspect="1"/>
                    </pic:cNvPicPr>
                  </pic:nvPicPr>
                  <pic:blipFill>
                    <a:blip r:embed="rId16"/>
                    <a:stretch>
                      <a:fillRect/>
                    </a:stretch>
                  </pic:blipFill>
                  <pic:spPr>
                    <a:xfrm>
                      <a:off x="0" y="0"/>
                      <a:ext cx="5248275" cy="3848100"/>
                    </a:xfrm>
                    <a:prstGeom prst="rect">
                      <a:avLst/>
                    </a:prstGeom>
                    <a:noFill/>
                    <a:ln w="9525">
                      <a:noFill/>
                    </a:ln>
                  </pic:spPr>
                </pic:pic>
              </a:graphicData>
            </a:graphic>
          </wp:inline>
        </w:drawing>
      </w:r>
    </w:p>
    <w:p>
      <w:pPr>
        <w:keepNext w:val="0"/>
        <w:keepLines w:val="0"/>
        <w:widowControl/>
        <w:suppressLineNumbers w:val="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w:t>
      </w:r>
      <w:r>
        <w:rPr>
          <w:rFonts w:hint="eastAsia" w:ascii="宋体" w:hAnsi="宋体" w:eastAsia="宋体" w:cs="宋体"/>
          <w:b/>
          <w:bCs/>
          <w:sz w:val="28"/>
          <w:szCs w:val="28"/>
          <w:lang w:val="en-US" w:eastAsia="zh-CN"/>
        </w:rPr>
        <w:t xml:space="preserve">         钉钉线上网络授课</w:t>
      </w:r>
    </w:p>
    <w:p>
      <w:pPr>
        <w:keepNext w:val="0"/>
        <w:keepLines w:val="0"/>
        <w:widowControl/>
        <w:suppressLineNumbers w:val="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w:t>
      </w:r>
    </w:p>
    <w:p>
      <w:pPr>
        <w:ind w:firstLine="562" w:firstLineChars="200"/>
        <w:rPr>
          <w:rFonts w:hint="eastAsia" w:ascii="宋体" w:hAnsi="宋体" w:eastAsia="宋体" w:cs="宋体"/>
          <w:b/>
          <w:bCs/>
          <w:sz w:val="28"/>
          <w:szCs w:val="28"/>
        </w:rPr>
      </w:pPr>
      <w:r>
        <w:rPr>
          <w:rFonts w:hint="eastAsia" w:ascii="宋体" w:hAnsi="宋体" w:eastAsia="宋体" w:cs="宋体"/>
          <w:b/>
          <w:bCs/>
          <w:sz w:val="28"/>
          <w:szCs w:val="28"/>
        </w:rPr>
        <w:t>案例二：勇当先锋守初心 深入一线抗疫情</w:t>
      </w:r>
    </w:p>
    <w:p>
      <w:pPr>
        <w:ind w:firstLine="560" w:firstLineChars="200"/>
        <w:rPr>
          <w:rFonts w:hint="eastAsia" w:ascii="宋体" w:hAnsi="宋体" w:eastAsia="宋体" w:cs="宋体"/>
          <w:sz w:val="28"/>
          <w:szCs w:val="28"/>
        </w:rPr>
      </w:pPr>
      <w:r>
        <w:rPr>
          <w:rFonts w:hint="eastAsia" w:ascii="宋体" w:hAnsi="宋体" w:eastAsia="宋体" w:cs="宋体"/>
          <w:sz w:val="28"/>
          <w:szCs w:val="28"/>
        </w:rPr>
        <w:t>为深入贯彻落实省直机关工委《关于贯彻落实省委组织部＜关于组织动员中省直机关、企事业单位党员下沉到社区参与疫情防控工作的函＞的通知》精神，我校积极响应号召，党员干部主动报名到社区去，到一线去，到战“疫”最需要的地方去。</w:t>
      </w:r>
    </w:p>
    <w:p>
      <w:pPr>
        <w:ind w:firstLine="560" w:firstLineChars="200"/>
        <w:rPr>
          <w:rFonts w:hint="eastAsia" w:ascii="宋体" w:hAnsi="宋体" w:eastAsia="宋体" w:cs="宋体"/>
          <w:sz w:val="28"/>
          <w:szCs w:val="28"/>
        </w:rPr>
      </w:pPr>
      <w:r>
        <w:rPr>
          <w:rFonts w:hint="eastAsia" w:ascii="宋体" w:hAnsi="宋体" w:eastAsia="宋体" w:cs="宋体"/>
          <w:sz w:val="28"/>
          <w:szCs w:val="28"/>
        </w:rPr>
        <w:t>2020年2月21日一大早，我校华兴同志作为一名普通的年轻党员干部到香坊区松海社区疫情防控一线报到，用实际行动践行了新时代共产党员的奉献精神。根据社区工作安排，每天做到早7点30分及时到岗，协助社区工作人员张贴宣传告示和隔离封条，发放宣传材料，做好门岗执勤，对小区出人人员逐一开展喷洒消毒液、检测体温、查看出入证、询问出门事由、登记造册等工作，把好社区门、单元门和家门，力争把社区疫情防控的“口袋”扎得牢牢的、实实的，为群众的生命安全负责。“疫情就是命令，防控就是责任”，社区作为疫情防控的首道防线，工作任务繁重，由于接触的人多，还需要与家人隔离</w:t>
      </w:r>
      <w:r>
        <w:rPr>
          <w:rFonts w:hint="eastAsia" w:ascii="宋体" w:hAnsi="宋体" w:eastAsia="宋体" w:cs="宋体"/>
          <w:sz w:val="28"/>
          <w:szCs w:val="28"/>
          <w:lang w:eastAsia="zh-CN"/>
        </w:rPr>
        <w:t>，</w:t>
      </w:r>
      <w:r>
        <w:rPr>
          <w:rFonts w:hint="eastAsia" w:ascii="宋体" w:hAnsi="宋体" w:eastAsia="宋体" w:cs="宋体"/>
          <w:sz w:val="28"/>
          <w:szCs w:val="28"/>
        </w:rPr>
        <w:t>他坚信只要大家团结一致，众志成城，一定能打赢这场没有硝烟的疫情防控阻击战。</w:t>
      </w:r>
    </w:p>
    <w:p>
      <w:pPr>
        <w:jc w:val="center"/>
        <w:rPr>
          <w:rFonts w:hint="eastAsia" w:ascii="宋体" w:hAnsi="宋体" w:eastAsia="宋体" w:cs="Times New Roman"/>
          <w:sz w:val="28"/>
          <w:szCs w:val="28"/>
          <w:lang w:eastAsia="zh-CN"/>
        </w:rPr>
      </w:pPr>
      <w:r>
        <w:rPr>
          <w:rFonts w:hint="eastAsia" w:ascii="宋体" w:hAnsi="宋体" w:eastAsia="宋体" w:cs="Times New Roman"/>
          <w:sz w:val="28"/>
          <w:szCs w:val="28"/>
          <w:lang w:eastAsia="zh-CN"/>
        </w:rPr>
        <w:drawing>
          <wp:inline distT="0" distB="0" distL="114300" distR="114300">
            <wp:extent cx="5274945" cy="3186430"/>
            <wp:effectExtent l="0" t="0" r="13335" b="13970"/>
            <wp:docPr id="33" name="图片 33" descr="黑工程华兴在社区门岗执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黑工程华兴在社区门岗执勤"/>
                    <pic:cNvPicPr>
                      <a:picLocks noChangeAspect="1"/>
                    </pic:cNvPicPr>
                  </pic:nvPicPr>
                  <pic:blipFill>
                    <a:blip r:embed="rId17"/>
                    <a:stretch>
                      <a:fillRect/>
                    </a:stretch>
                  </pic:blipFill>
                  <pic:spPr>
                    <a:xfrm>
                      <a:off x="0" y="0"/>
                      <a:ext cx="5274945" cy="3186430"/>
                    </a:xfrm>
                    <a:prstGeom prst="rect">
                      <a:avLst/>
                    </a:prstGeom>
                  </pic:spPr>
                </pic:pic>
              </a:graphicData>
            </a:graphic>
          </wp:inline>
        </w:drawing>
      </w:r>
    </w:p>
    <w:p>
      <w:pPr>
        <w:jc w:val="center"/>
        <w:rPr>
          <w:rFonts w:hint="default" w:ascii="宋体" w:hAnsi="宋体" w:eastAsia="宋体" w:cs="Times New Roman"/>
          <w:b/>
          <w:bCs/>
          <w:sz w:val="28"/>
          <w:szCs w:val="28"/>
          <w:lang w:val="en-US" w:eastAsia="zh-CN"/>
        </w:rPr>
      </w:pPr>
      <w:r>
        <w:rPr>
          <w:rFonts w:hint="eastAsia" w:ascii="宋体" w:hAnsi="宋体" w:eastAsia="宋体" w:cs="Times New Roman"/>
          <w:b/>
          <w:bCs/>
          <w:sz w:val="28"/>
          <w:szCs w:val="28"/>
          <w:lang w:val="en-US" w:eastAsia="zh-CN"/>
        </w:rPr>
        <w:t>协助社区工作人员发放快递</w:t>
      </w:r>
    </w:p>
    <w:p>
      <w:pPr>
        <w:pStyle w:val="2"/>
        <w:spacing w:before="0" w:after="0" w:line="240" w:lineRule="auto"/>
        <w:ind w:firstLine="640" w:firstLineChars="200"/>
        <w:rPr>
          <w:rFonts w:ascii="黑体" w:hAnsi="黑体" w:eastAsia="黑体" w:cs="Times New Roman"/>
          <w:b w:val="0"/>
          <w:bCs w:val="0"/>
          <w:sz w:val="32"/>
          <w:szCs w:val="32"/>
        </w:rPr>
      </w:pPr>
      <w:bookmarkStart w:id="40" w:name="_Toc34123298"/>
      <w:r>
        <w:rPr>
          <w:rFonts w:ascii="黑体" w:hAnsi="黑体" w:eastAsia="黑体" w:cs="黑体"/>
          <w:b w:val="0"/>
          <w:bCs w:val="0"/>
          <w:sz w:val="32"/>
          <w:szCs w:val="32"/>
        </w:rPr>
        <w:t>8.</w:t>
      </w:r>
      <w:r>
        <w:rPr>
          <w:rFonts w:hint="eastAsia" w:ascii="黑体" w:hAnsi="黑体" w:eastAsia="黑体" w:cs="黑体"/>
          <w:b w:val="0"/>
          <w:bCs w:val="0"/>
          <w:sz w:val="32"/>
          <w:szCs w:val="32"/>
        </w:rPr>
        <w:t>主要问题和改进措施</w:t>
      </w:r>
      <w:bookmarkEnd w:id="40"/>
    </w:p>
    <w:p>
      <w:pPr>
        <w:ind w:firstLine="560" w:firstLineChars="200"/>
        <w:rPr>
          <w:rFonts w:hint="eastAsia" w:ascii="宋体" w:hAnsi="宋体" w:eastAsia="宋体" w:cs="宋体"/>
          <w:sz w:val="28"/>
          <w:szCs w:val="28"/>
          <w:lang w:val="en-US" w:eastAsia="zh-CN"/>
        </w:rPr>
      </w:pPr>
      <w:r>
        <w:rPr>
          <w:rFonts w:ascii="宋体" w:hAnsi="宋体" w:eastAsia="宋体" w:cs="宋体"/>
          <w:sz w:val="28"/>
          <w:szCs w:val="28"/>
        </w:rPr>
        <w:t>8.1</w:t>
      </w:r>
      <w:r>
        <w:rPr>
          <w:rFonts w:hint="eastAsia" w:ascii="宋体" w:hAnsi="宋体" w:eastAsia="宋体" w:cs="宋体"/>
          <w:sz w:val="28"/>
          <w:szCs w:val="28"/>
          <w:lang w:val="en-US" w:eastAsia="zh-CN"/>
        </w:rPr>
        <w:t>校企合作缺少深度合作，相关政策不够完善</w:t>
      </w:r>
    </w:p>
    <w:p>
      <w:pPr>
        <w:ind w:firstLine="560" w:firstLineChars="200"/>
        <w:rPr>
          <w:rFonts w:hint="default" w:ascii="宋体" w:hAnsi="宋体" w:eastAsia="宋体" w:cs="宋体"/>
          <w:sz w:val="28"/>
          <w:szCs w:val="28"/>
          <w:lang w:val="en-US" w:eastAsia="zh-CN"/>
        </w:rPr>
      </w:pPr>
      <w:r>
        <w:rPr>
          <w:rFonts w:hint="default" w:ascii="宋体" w:hAnsi="宋体" w:eastAsia="宋体" w:cs="宋体"/>
          <w:sz w:val="28"/>
          <w:szCs w:val="28"/>
          <w:lang w:val="en-US" w:eastAsia="zh-CN"/>
        </w:rPr>
        <w:t>学校要积极发挥政府在校企合作方面如资金扶持、宣传推广、政策优惠上的文持力度使企业得到生产经营方面的利好,更有效地发挥效用,深度参与,确保产教融合任务的正常进行;学校要树立以教师为主导,学生为主体,能力为本位的培养模式</w:t>
      </w:r>
      <w:r>
        <w:rPr>
          <w:rFonts w:hint="eastAsia" w:ascii="宋体" w:hAnsi="宋体" w:eastAsia="宋体" w:cs="宋体"/>
          <w:sz w:val="28"/>
          <w:szCs w:val="28"/>
          <w:lang w:val="en-US" w:eastAsia="zh-CN"/>
        </w:rPr>
        <w:t>，</w:t>
      </w:r>
      <w:r>
        <w:rPr>
          <w:rFonts w:hint="default" w:ascii="宋体" w:hAnsi="宋体" w:eastAsia="宋体" w:cs="宋体"/>
          <w:sz w:val="28"/>
          <w:szCs w:val="28"/>
          <w:lang w:val="en-US" w:eastAsia="zh-CN"/>
        </w:rPr>
        <w:t>以实习就业为导向进行一些专业课程的设计,主要培养学生专业技能的实践能力,在课程的设置中,明确就业</w:t>
      </w:r>
      <w:r>
        <w:rPr>
          <w:rFonts w:hint="eastAsia" w:ascii="宋体" w:hAnsi="宋体" w:eastAsia="宋体" w:cs="宋体"/>
          <w:sz w:val="28"/>
          <w:szCs w:val="28"/>
          <w:lang w:val="en-US" w:eastAsia="zh-CN"/>
        </w:rPr>
        <w:t>岗位的职责，向企业输送一流的应用人才。</w:t>
      </w:r>
    </w:p>
    <w:p>
      <w:pPr>
        <w:ind w:firstLine="560" w:firstLineChars="200"/>
        <w:rPr>
          <w:rFonts w:hint="default" w:ascii="宋体" w:hAnsi="宋体" w:eastAsia="宋体" w:cs="宋体"/>
          <w:sz w:val="28"/>
          <w:szCs w:val="28"/>
          <w:lang w:val="en-US" w:eastAsia="zh-CN"/>
        </w:rPr>
      </w:pPr>
      <w:r>
        <w:rPr>
          <w:rFonts w:ascii="宋体" w:hAnsi="宋体" w:eastAsia="宋体" w:cs="宋体"/>
          <w:sz w:val="28"/>
          <w:szCs w:val="28"/>
        </w:rPr>
        <w:t>8.2</w:t>
      </w:r>
      <w:r>
        <w:rPr>
          <w:rFonts w:hint="default" w:ascii="宋体" w:hAnsi="宋体" w:eastAsia="宋体" w:cs="宋体"/>
          <w:sz w:val="28"/>
          <w:szCs w:val="28"/>
          <w:lang w:val="en-US" w:eastAsia="zh-CN"/>
        </w:rPr>
        <w:t>对技能竞赛重视程度有待提高</w:t>
      </w:r>
    </w:p>
    <w:p>
      <w:pPr>
        <w:ind w:firstLine="560" w:firstLineChars="200"/>
        <w:rPr>
          <w:rFonts w:hint="default" w:ascii="宋体" w:hAnsi="宋体" w:eastAsia="宋体" w:cs="宋体"/>
          <w:sz w:val="28"/>
          <w:szCs w:val="28"/>
          <w:lang w:val="en-US" w:eastAsia="zh-CN"/>
        </w:rPr>
      </w:pPr>
      <w:r>
        <w:rPr>
          <w:rFonts w:hint="default" w:ascii="宋体" w:hAnsi="宋体" w:eastAsia="宋体" w:cs="宋体"/>
          <w:sz w:val="28"/>
          <w:szCs w:val="28"/>
          <w:lang w:val="en-US" w:eastAsia="zh-CN"/>
        </w:rPr>
        <w:t>技能竞赛是展示学生和学校的重要平台，</w:t>
      </w:r>
      <w:r>
        <w:rPr>
          <w:rFonts w:hint="eastAsia" w:ascii="宋体" w:hAnsi="宋体" w:eastAsia="宋体" w:cs="宋体"/>
          <w:sz w:val="28"/>
          <w:szCs w:val="28"/>
          <w:lang w:val="en-US" w:eastAsia="zh-CN"/>
        </w:rPr>
        <w:t>我们将努力加强教师和学生技能训练，不断提高专业技能教学水平，促进教师和学生掌握相关岗位技能，</w:t>
      </w:r>
      <w:r>
        <w:rPr>
          <w:rFonts w:hint="default" w:ascii="宋体" w:hAnsi="宋体" w:eastAsia="宋体" w:cs="宋体"/>
          <w:sz w:val="28"/>
          <w:szCs w:val="28"/>
          <w:lang w:val="en-US" w:eastAsia="zh-CN"/>
        </w:rPr>
        <w:t>结合学校实际，加大技能竞赛的资金及设备投入，建立技能竞赛激励机制，通过机制来调动师生参与的积极性，激发师生的创造创新能力，力争教师和学生积极参与，人人参与</w:t>
      </w:r>
      <w:r>
        <w:rPr>
          <w:rFonts w:hint="eastAsia" w:ascii="宋体" w:hAnsi="宋体" w:eastAsia="宋体" w:cs="宋体"/>
          <w:sz w:val="28"/>
          <w:szCs w:val="28"/>
          <w:lang w:val="en-US" w:eastAsia="zh-CN"/>
        </w:rPr>
        <w:t>。</w:t>
      </w:r>
    </w:p>
    <w:p>
      <w:pPr>
        <w:pStyle w:val="24"/>
        <w:spacing w:line="580" w:lineRule="exact"/>
        <w:ind w:firstLine="31680"/>
        <w:rPr>
          <w:rFonts w:ascii="宋体" w:cs="Times New Roman"/>
          <w:sz w:val="28"/>
          <w:szCs w:val="28"/>
        </w:rPr>
      </w:pPr>
      <w:r>
        <w:rPr>
          <w:rFonts w:ascii="宋体" w:hAnsi="宋体" w:cs="宋体"/>
          <w:sz w:val="28"/>
          <w:szCs w:val="28"/>
        </w:rPr>
        <w:t>8.3</w:t>
      </w:r>
      <w:r>
        <w:rPr>
          <w:rFonts w:hint="eastAsia" w:ascii="宋体" w:hAnsi="宋体" w:cs="宋体"/>
          <w:sz w:val="28"/>
          <w:szCs w:val="28"/>
        </w:rPr>
        <w:t>职业</w:t>
      </w:r>
      <w:r>
        <w:rPr>
          <w:rFonts w:hint="eastAsia" w:ascii="宋体" w:hAnsi="宋体" w:cs="宋体"/>
          <w:sz w:val="28"/>
          <w:szCs w:val="28"/>
          <w:lang w:val="en-US" w:eastAsia="zh-CN"/>
        </w:rPr>
        <w:t>培训</w:t>
      </w:r>
      <w:r>
        <w:rPr>
          <w:rFonts w:hint="eastAsia" w:ascii="宋体" w:hAnsi="宋体" w:cs="宋体"/>
          <w:sz w:val="28"/>
          <w:szCs w:val="28"/>
        </w:rPr>
        <w:t>和继续教育开展的还不够好</w:t>
      </w:r>
    </w:p>
    <w:p>
      <w:pPr>
        <w:ind w:firstLine="560" w:firstLineChars="200"/>
        <w:rPr>
          <w:rFonts w:ascii="宋体" w:hAnsi="宋体" w:eastAsia="宋体" w:cs="Times New Roman"/>
          <w:sz w:val="28"/>
          <w:szCs w:val="28"/>
        </w:rPr>
      </w:pPr>
      <w:r>
        <w:rPr>
          <w:rFonts w:hint="eastAsia" w:ascii="宋体" w:hAnsi="宋体" w:eastAsia="宋体" w:cs="宋体"/>
          <w:sz w:val="28"/>
          <w:szCs w:val="28"/>
        </w:rPr>
        <w:t>我们将根据事业单位改革</w:t>
      </w:r>
      <w:r>
        <w:rPr>
          <w:rFonts w:hint="eastAsia" w:ascii="宋体" w:hAnsi="宋体" w:eastAsia="宋体" w:cs="宋体"/>
          <w:sz w:val="28"/>
          <w:szCs w:val="28"/>
          <w:lang w:val="en-US" w:eastAsia="zh-CN"/>
        </w:rPr>
        <w:t>定位学校的教育</w:t>
      </w:r>
      <w:r>
        <w:rPr>
          <w:rFonts w:hint="eastAsia" w:ascii="宋体" w:hAnsi="宋体" w:eastAsia="宋体" w:cs="宋体"/>
          <w:sz w:val="28"/>
          <w:szCs w:val="28"/>
        </w:rPr>
        <w:t>职能，积极开展职业教育和继续教育，汇同局（厅）的人事部门、行业协会、地勘单位、各地市的自然资源局组建技能鉴定服务站和产教融合中心，为全系统、全行业的培训工作做好服务。</w:t>
      </w:r>
    </w:p>
    <w:p>
      <w:pPr>
        <w:jc w:val="center"/>
        <w:rPr>
          <w:rFonts w:cs="Times New Roman"/>
        </w:rPr>
      </w:pPr>
    </w:p>
    <w:sectPr>
      <w:footerReference r:id="rId4" w:type="default"/>
      <w:pgSz w:w="11906" w:h="16838"/>
      <w:pgMar w:top="1440" w:right="1797" w:bottom="1440" w:left="1797"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_GBK">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00006FF" w:usb1="4000205B" w:usb2="00000010" w:usb3="00000000" w:csb0="2000019F" w:csb1="00000000"/>
  </w:font>
  <w:font w:name="方正小标宋简体">
    <w:panose1 w:val="02010601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360" w:firstLine="360"/>
      <w:rPr>
        <w:rFonts w:hint="eastAsia" w:eastAsia="方正仿宋_GBK" w:cs="Times New Roman"/>
        <w:lang w:val="en-US" w:eastAsia="zh-CN"/>
      </w:rPr>
    </w:pPr>
    <w:r>
      <w:rPr>
        <w:rFonts w:hint="eastAsia" w:cs="Times New Roman"/>
        <w:lang w:val="en-US" w:eastAsia="zh-CN"/>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360" w:firstLine="360"/>
      <w:rPr>
        <w:rFonts w:cs="Times New Roma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Style w:val="15"/>
                              <w:rFonts w:ascii="宋体" w:hAnsi="宋体" w:eastAsia="宋体"/>
                              <w:sz w:val="28"/>
                              <w:szCs w:val="28"/>
                            </w:rPr>
                          </w:pPr>
                          <w:r>
                            <w:rPr>
                              <w:rStyle w:val="15"/>
                              <w:rFonts w:ascii="宋体" w:hAnsi="宋体" w:eastAsia="宋体" w:cs="宋体"/>
                              <w:sz w:val="28"/>
                              <w:szCs w:val="28"/>
                            </w:rPr>
                            <w:fldChar w:fldCharType="begin"/>
                          </w:r>
                          <w:r>
                            <w:rPr>
                              <w:rStyle w:val="15"/>
                              <w:rFonts w:ascii="宋体" w:hAnsi="宋体" w:eastAsia="宋体" w:cs="宋体"/>
                              <w:sz w:val="28"/>
                              <w:szCs w:val="28"/>
                            </w:rPr>
                            <w:instrText xml:space="preserve">PAGE  </w:instrText>
                          </w:r>
                          <w:r>
                            <w:rPr>
                              <w:rStyle w:val="15"/>
                              <w:rFonts w:ascii="宋体" w:hAnsi="宋体" w:eastAsia="宋体" w:cs="宋体"/>
                              <w:sz w:val="28"/>
                              <w:szCs w:val="28"/>
                            </w:rPr>
                            <w:fldChar w:fldCharType="separate"/>
                          </w:r>
                          <w:r>
                            <w:rPr>
                              <w:rStyle w:val="15"/>
                              <w:rFonts w:ascii="宋体" w:hAnsi="宋体" w:eastAsia="宋体" w:cs="宋体"/>
                              <w:sz w:val="28"/>
                              <w:szCs w:val="28"/>
                            </w:rPr>
                            <w:t>30</w:t>
                          </w:r>
                          <w:r>
                            <w:rPr>
                              <w:rStyle w:val="15"/>
                              <w:rFonts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5"/>
                      <w:rPr>
                        <w:rStyle w:val="15"/>
                        <w:rFonts w:ascii="宋体" w:hAnsi="宋体" w:eastAsia="宋体"/>
                        <w:sz w:val="28"/>
                        <w:szCs w:val="28"/>
                      </w:rPr>
                    </w:pPr>
                    <w:r>
                      <w:rPr>
                        <w:rStyle w:val="15"/>
                        <w:rFonts w:ascii="宋体" w:hAnsi="宋体" w:eastAsia="宋体" w:cs="宋体"/>
                        <w:sz w:val="28"/>
                        <w:szCs w:val="28"/>
                      </w:rPr>
                      <w:fldChar w:fldCharType="begin"/>
                    </w:r>
                    <w:r>
                      <w:rPr>
                        <w:rStyle w:val="15"/>
                        <w:rFonts w:ascii="宋体" w:hAnsi="宋体" w:eastAsia="宋体" w:cs="宋体"/>
                        <w:sz w:val="28"/>
                        <w:szCs w:val="28"/>
                      </w:rPr>
                      <w:instrText xml:space="preserve">PAGE  </w:instrText>
                    </w:r>
                    <w:r>
                      <w:rPr>
                        <w:rStyle w:val="15"/>
                        <w:rFonts w:ascii="宋体" w:hAnsi="宋体" w:eastAsia="宋体" w:cs="宋体"/>
                        <w:sz w:val="28"/>
                        <w:szCs w:val="28"/>
                      </w:rPr>
                      <w:fldChar w:fldCharType="separate"/>
                    </w:r>
                    <w:r>
                      <w:rPr>
                        <w:rStyle w:val="15"/>
                        <w:rFonts w:ascii="宋体" w:hAnsi="宋体" w:eastAsia="宋体" w:cs="宋体"/>
                        <w:sz w:val="28"/>
                        <w:szCs w:val="28"/>
                      </w:rPr>
                      <w:t>30</w:t>
                    </w:r>
                    <w:r>
                      <w:rPr>
                        <w:rStyle w:val="15"/>
                        <w:rFonts w:ascii="宋体" w:hAnsi="宋体" w:eastAsia="宋体" w:cs="宋体"/>
                        <w:sz w:val="28"/>
                        <w:szCs w:val="28"/>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C76"/>
    <w:rsid w:val="00006ACF"/>
    <w:rsid w:val="00006AE7"/>
    <w:rsid w:val="00010395"/>
    <w:rsid w:val="00012814"/>
    <w:rsid w:val="00013C9F"/>
    <w:rsid w:val="00021E33"/>
    <w:rsid w:val="000228C5"/>
    <w:rsid w:val="00024455"/>
    <w:rsid w:val="00026F32"/>
    <w:rsid w:val="00027AC7"/>
    <w:rsid w:val="00030872"/>
    <w:rsid w:val="000323A2"/>
    <w:rsid w:val="000336F8"/>
    <w:rsid w:val="000361D6"/>
    <w:rsid w:val="00037F61"/>
    <w:rsid w:val="00044760"/>
    <w:rsid w:val="0004547D"/>
    <w:rsid w:val="00046447"/>
    <w:rsid w:val="000555A5"/>
    <w:rsid w:val="00060AB0"/>
    <w:rsid w:val="000614F8"/>
    <w:rsid w:val="000628E1"/>
    <w:rsid w:val="00062960"/>
    <w:rsid w:val="00064491"/>
    <w:rsid w:val="00070C10"/>
    <w:rsid w:val="000711A5"/>
    <w:rsid w:val="0007298A"/>
    <w:rsid w:val="00074F0C"/>
    <w:rsid w:val="0007753A"/>
    <w:rsid w:val="00087AE5"/>
    <w:rsid w:val="000945D6"/>
    <w:rsid w:val="00095445"/>
    <w:rsid w:val="000A32EF"/>
    <w:rsid w:val="000A463E"/>
    <w:rsid w:val="000A4764"/>
    <w:rsid w:val="000B3BD3"/>
    <w:rsid w:val="000B7A94"/>
    <w:rsid w:val="000C0CE5"/>
    <w:rsid w:val="000C3FC5"/>
    <w:rsid w:val="000C51FE"/>
    <w:rsid w:val="000C5DED"/>
    <w:rsid w:val="000E1BA5"/>
    <w:rsid w:val="000E3344"/>
    <w:rsid w:val="000E7AAA"/>
    <w:rsid w:val="000F0459"/>
    <w:rsid w:val="000F07F4"/>
    <w:rsid w:val="000F2E79"/>
    <w:rsid w:val="000F539F"/>
    <w:rsid w:val="000F558E"/>
    <w:rsid w:val="00101F73"/>
    <w:rsid w:val="00110D25"/>
    <w:rsid w:val="00110D41"/>
    <w:rsid w:val="00113864"/>
    <w:rsid w:val="001141F0"/>
    <w:rsid w:val="00114CFF"/>
    <w:rsid w:val="00115773"/>
    <w:rsid w:val="001314AD"/>
    <w:rsid w:val="00133935"/>
    <w:rsid w:val="00133BB6"/>
    <w:rsid w:val="001411E3"/>
    <w:rsid w:val="00142FB8"/>
    <w:rsid w:val="001477FA"/>
    <w:rsid w:val="00150179"/>
    <w:rsid w:val="001518E2"/>
    <w:rsid w:val="00152E41"/>
    <w:rsid w:val="00155C4C"/>
    <w:rsid w:val="00160370"/>
    <w:rsid w:val="00160A0E"/>
    <w:rsid w:val="00172A27"/>
    <w:rsid w:val="00173232"/>
    <w:rsid w:val="001743BD"/>
    <w:rsid w:val="00176E82"/>
    <w:rsid w:val="00176F56"/>
    <w:rsid w:val="00185B11"/>
    <w:rsid w:val="0018653A"/>
    <w:rsid w:val="001869DF"/>
    <w:rsid w:val="001873D0"/>
    <w:rsid w:val="00187A12"/>
    <w:rsid w:val="001A2238"/>
    <w:rsid w:val="001A3BC2"/>
    <w:rsid w:val="001A60D1"/>
    <w:rsid w:val="001A658E"/>
    <w:rsid w:val="001B15CC"/>
    <w:rsid w:val="001B31F4"/>
    <w:rsid w:val="001B79F5"/>
    <w:rsid w:val="001B7B42"/>
    <w:rsid w:val="001C293D"/>
    <w:rsid w:val="001C2F79"/>
    <w:rsid w:val="001C3A9A"/>
    <w:rsid w:val="001C4D70"/>
    <w:rsid w:val="001E1092"/>
    <w:rsid w:val="001E3378"/>
    <w:rsid w:val="001E37B2"/>
    <w:rsid w:val="001E4599"/>
    <w:rsid w:val="001F3E5B"/>
    <w:rsid w:val="001F5099"/>
    <w:rsid w:val="00200270"/>
    <w:rsid w:val="00204B65"/>
    <w:rsid w:val="00205372"/>
    <w:rsid w:val="002071BE"/>
    <w:rsid w:val="002124DC"/>
    <w:rsid w:val="00227871"/>
    <w:rsid w:val="0023114F"/>
    <w:rsid w:val="00233F79"/>
    <w:rsid w:val="0023544F"/>
    <w:rsid w:val="00236056"/>
    <w:rsid w:val="0023770D"/>
    <w:rsid w:val="002453FC"/>
    <w:rsid w:val="00246105"/>
    <w:rsid w:val="0024783D"/>
    <w:rsid w:val="002521FA"/>
    <w:rsid w:val="002568A9"/>
    <w:rsid w:val="00257B73"/>
    <w:rsid w:val="002615D8"/>
    <w:rsid w:val="00261658"/>
    <w:rsid w:val="00262F7C"/>
    <w:rsid w:val="002631F1"/>
    <w:rsid w:val="00265257"/>
    <w:rsid w:val="002701FD"/>
    <w:rsid w:val="00270E78"/>
    <w:rsid w:val="002720C4"/>
    <w:rsid w:val="00280422"/>
    <w:rsid w:val="002810D8"/>
    <w:rsid w:val="00281C3B"/>
    <w:rsid w:val="00291BB4"/>
    <w:rsid w:val="00293AF5"/>
    <w:rsid w:val="002949CA"/>
    <w:rsid w:val="002A20B5"/>
    <w:rsid w:val="002A6329"/>
    <w:rsid w:val="002A68F1"/>
    <w:rsid w:val="002B4F3C"/>
    <w:rsid w:val="002B53C6"/>
    <w:rsid w:val="002B542D"/>
    <w:rsid w:val="002C089C"/>
    <w:rsid w:val="002D08E2"/>
    <w:rsid w:val="002D1B70"/>
    <w:rsid w:val="002D5F83"/>
    <w:rsid w:val="002D7625"/>
    <w:rsid w:val="002E0767"/>
    <w:rsid w:val="002E2408"/>
    <w:rsid w:val="002E2C68"/>
    <w:rsid w:val="002E2E05"/>
    <w:rsid w:val="002E5552"/>
    <w:rsid w:val="002E7622"/>
    <w:rsid w:val="002F42FD"/>
    <w:rsid w:val="00306A3E"/>
    <w:rsid w:val="00307376"/>
    <w:rsid w:val="003106FC"/>
    <w:rsid w:val="00313476"/>
    <w:rsid w:val="003308D2"/>
    <w:rsid w:val="00330CD8"/>
    <w:rsid w:val="00331181"/>
    <w:rsid w:val="00331637"/>
    <w:rsid w:val="00332F8A"/>
    <w:rsid w:val="00337635"/>
    <w:rsid w:val="003417A1"/>
    <w:rsid w:val="003429A5"/>
    <w:rsid w:val="00342E68"/>
    <w:rsid w:val="003439C1"/>
    <w:rsid w:val="00343D37"/>
    <w:rsid w:val="00351148"/>
    <w:rsid w:val="0035164C"/>
    <w:rsid w:val="003564E5"/>
    <w:rsid w:val="003614E0"/>
    <w:rsid w:val="003619A7"/>
    <w:rsid w:val="003758F6"/>
    <w:rsid w:val="0038288A"/>
    <w:rsid w:val="003927DC"/>
    <w:rsid w:val="003929F2"/>
    <w:rsid w:val="003929FF"/>
    <w:rsid w:val="00393AB2"/>
    <w:rsid w:val="003966DF"/>
    <w:rsid w:val="003A00EF"/>
    <w:rsid w:val="003A0FF4"/>
    <w:rsid w:val="003A5CC7"/>
    <w:rsid w:val="003B3143"/>
    <w:rsid w:val="003B45CB"/>
    <w:rsid w:val="003B78FA"/>
    <w:rsid w:val="003C1824"/>
    <w:rsid w:val="003C186D"/>
    <w:rsid w:val="003C3A9F"/>
    <w:rsid w:val="003C5E69"/>
    <w:rsid w:val="003C6A85"/>
    <w:rsid w:val="003D6C44"/>
    <w:rsid w:val="003E0C1C"/>
    <w:rsid w:val="003F21B6"/>
    <w:rsid w:val="003F6408"/>
    <w:rsid w:val="004068CF"/>
    <w:rsid w:val="00406BE1"/>
    <w:rsid w:val="00412A84"/>
    <w:rsid w:val="00414D34"/>
    <w:rsid w:val="00421796"/>
    <w:rsid w:val="00421B77"/>
    <w:rsid w:val="00421C01"/>
    <w:rsid w:val="004246F5"/>
    <w:rsid w:val="0042567A"/>
    <w:rsid w:val="00427024"/>
    <w:rsid w:val="00427953"/>
    <w:rsid w:val="004279AE"/>
    <w:rsid w:val="00427B52"/>
    <w:rsid w:val="00427DD7"/>
    <w:rsid w:val="00430692"/>
    <w:rsid w:val="00430719"/>
    <w:rsid w:val="004372C1"/>
    <w:rsid w:val="004556C0"/>
    <w:rsid w:val="00460234"/>
    <w:rsid w:val="00462E1C"/>
    <w:rsid w:val="004655E7"/>
    <w:rsid w:val="00467B5A"/>
    <w:rsid w:val="00471E0A"/>
    <w:rsid w:val="00473AA0"/>
    <w:rsid w:val="004742AB"/>
    <w:rsid w:val="004747EE"/>
    <w:rsid w:val="00475EAF"/>
    <w:rsid w:val="00480E49"/>
    <w:rsid w:val="00481B62"/>
    <w:rsid w:val="004833C9"/>
    <w:rsid w:val="00485BB5"/>
    <w:rsid w:val="00486F00"/>
    <w:rsid w:val="00487E76"/>
    <w:rsid w:val="00492ED9"/>
    <w:rsid w:val="004932ED"/>
    <w:rsid w:val="00496526"/>
    <w:rsid w:val="00496CBE"/>
    <w:rsid w:val="0049725E"/>
    <w:rsid w:val="004A1FAB"/>
    <w:rsid w:val="004B0E5C"/>
    <w:rsid w:val="004B56D6"/>
    <w:rsid w:val="004B6659"/>
    <w:rsid w:val="004B687F"/>
    <w:rsid w:val="004B7669"/>
    <w:rsid w:val="004B7CBE"/>
    <w:rsid w:val="004C135A"/>
    <w:rsid w:val="004C49A1"/>
    <w:rsid w:val="004C68AD"/>
    <w:rsid w:val="004D02F1"/>
    <w:rsid w:val="004D3011"/>
    <w:rsid w:val="004D5D28"/>
    <w:rsid w:val="004D65CB"/>
    <w:rsid w:val="004D6C2E"/>
    <w:rsid w:val="004D7822"/>
    <w:rsid w:val="004E0737"/>
    <w:rsid w:val="004E27E5"/>
    <w:rsid w:val="004E3653"/>
    <w:rsid w:val="004E6D47"/>
    <w:rsid w:val="004E6E79"/>
    <w:rsid w:val="004F36A1"/>
    <w:rsid w:val="004F7BCB"/>
    <w:rsid w:val="004F7EE8"/>
    <w:rsid w:val="005023BF"/>
    <w:rsid w:val="00510939"/>
    <w:rsid w:val="00511D02"/>
    <w:rsid w:val="00513EBE"/>
    <w:rsid w:val="00514250"/>
    <w:rsid w:val="005179B9"/>
    <w:rsid w:val="005210D3"/>
    <w:rsid w:val="00525FF0"/>
    <w:rsid w:val="0053054C"/>
    <w:rsid w:val="00532D87"/>
    <w:rsid w:val="00536E16"/>
    <w:rsid w:val="00536ECD"/>
    <w:rsid w:val="00540FB7"/>
    <w:rsid w:val="005442FB"/>
    <w:rsid w:val="0054699A"/>
    <w:rsid w:val="00552554"/>
    <w:rsid w:val="00573CB2"/>
    <w:rsid w:val="00581AC6"/>
    <w:rsid w:val="00581FF9"/>
    <w:rsid w:val="0059141F"/>
    <w:rsid w:val="0059589D"/>
    <w:rsid w:val="005A16DE"/>
    <w:rsid w:val="005A2002"/>
    <w:rsid w:val="005B0C28"/>
    <w:rsid w:val="005B5092"/>
    <w:rsid w:val="005B526C"/>
    <w:rsid w:val="005C2BFE"/>
    <w:rsid w:val="005C4AA2"/>
    <w:rsid w:val="005D18CE"/>
    <w:rsid w:val="005D5412"/>
    <w:rsid w:val="005D6184"/>
    <w:rsid w:val="005E3D73"/>
    <w:rsid w:val="005E3EA7"/>
    <w:rsid w:val="005F1279"/>
    <w:rsid w:val="005F2CEE"/>
    <w:rsid w:val="005F3059"/>
    <w:rsid w:val="005F327D"/>
    <w:rsid w:val="00602F69"/>
    <w:rsid w:val="00606F01"/>
    <w:rsid w:val="00607415"/>
    <w:rsid w:val="006119AF"/>
    <w:rsid w:val="0061360F"/>
    <w:rsid w:val="00625173"/>
    <w:rsid w:val="00626DCC"/>
    <w:rsid w:val="006340A4"/>
    <w:rsid w:val="006456C7"/>
    <w:rsid w:val="00646499"/>
    <w:rsid w:val="00646B1B"/>
    <w:rsid w:val="00650C7D"/>
    <w:rsid w:val="006551B0"/>
    <w:rsid w:val="0066160B"/>
    <w:rsid w:val="00664D68"/>
    <w:rsid w:val="00667A7B"/>
    <w:rsid w:val="00673EE2"/>
    <w:rsid w:val="006745CC"/>
    <w:rsid w:val="00681419"/>
    <w:rsid w:val="006855FB"/>
    <w:rsid w:val="00691B04"/>
    <w:rsid w:val="00691C81"/>
    <w:rsid w:val="006926BB"/>
    <w:rsid w:val="00697442"/>
    <w:rsid w:val="006A1633"/>
    <w:rsid w:val="006A41CA"/>
    <w:rsid w:val="006A78C6"/>
    <w:rsid w:val="006B06A0"/>
    <w:rsid w:val="006B2B1B"/>
    <w:rsid w:val="006B2F42"/>
    <w:rsid w:val="006B729C"/>
    <w:rsid w:val="006C24AF"/>
    <w:rsid w:val="006C42D5"/>
    <w:rsid w:val="006C6106"/>
    <w:rsid w:val="006D61E5"/>
    <w:rsid w:val="006E2177"/>
    <w:rsid w:val="006E4D54"/>
    <w:rsid w:val="006E7E47"/>
    <w:rsid w:val="00700058"/>
    <w:rsid w:val="00707104"/>
    <w:rsid w:val="00710CFE"/>
    <w:rsid w:val="00713638"/>
    <w:rsid w:val="00713F5C"/>
    <w:rsid w:val="00714758"/>
    <w:rsid w:val="007147F8"/>
    <w:rsid w:val="00717E4A"/>
    <w:rsid w:val="00724155"/>
    <w:rsid w:val="007260BF"/>
    <w:rsid w:val="007267D9"/>
    <w:rsid w:val="00730A67"/>
    <w:rsid w:val="00741588"/>
    <w:rsid w:val="0074240D"/>
    <w:rsid w:val="0074372E"/>
    <w:rsid w:val="00746C86"/>
    <w:rsid w:val="00747F73"/>
    <w:rsid w:val="00755107"/>
    <w:rsid w:val="007553B2"/>
    <w:rsid w:val="00756370"/>
    <w:rsid w:val="00761C1D"/>
    <w:rsid w:val="0076317B"/>
    <w:rsid w:val="00763BD0"/>
    <w:rsid w:val="0076495E"/>
    <w:rsid w:val="00765A53"/>
    <w:rsid w:val="007758FE"/>
    <w:rsid w:val="007831BB"/>
    <w:rsid w:val="00790767"/>
    <w:rsid w:val="00791666"/>
    <w:rsid w:val="0079370F"/>
    <w:rsid w:val="00794E69"/>
    <w:rsid w:val="007955D2"/>
    <w:rsid w:val="007A0E1E"/>
    <w:rsid w:val="007A3695"/>
    <w:rsid w:val="007A5FFF"/>
    <w:rsid w:val="007A75DC"/>
    <w:rsid w:val="007B11F7"/>
    <w:rsid w:val="007B24C0"/>
    <w:rsid w:val="007B468B"/>
    <w:rsid w:val="007B5DE7"/>
    <w:rsid w:val="007C2D7D"/>
    <w:rsid w:val="007C3280"/>
    <w:rsid w:val="007C5406"/>
    <w:rsid w:val="007C7E70"/>
    <w:rsid w:val="007D1227"/>
    <w:rsid w:val="007D69F1"/>
    <w:rsid w:val="007F3326"/>
    <w:rsid w:val="007F334C"/>
    <w:rsid w:val="00800E58"/>
    <w:rsid w:val="008012C6"/>
    <w:rsid w:val="00812134"/>
    <w:rsid w:val="0081666A"/>
    <w:rsid w:val="00820530"/>
    <w:rsid w:val="0082075D"/>
    <w:rsid w:val="008260F5"/>
    <w:rsid w:val="008279A2"/>
    <w:rsid w:val="00831A91"/>
    <w:rsid w:val="00833C42"/>
    <w:rsid w:val="0083426F"/>
    <w:rsid w:val="00834572"/>
    <w:rsid w:val="008402FC"/>
    <w:rsid w:val="008426E3"/>
    <w:rsid w:val="0084295C"/>
    <w:rsid w:val="008508FF"/>
    <w:rsid w:val="0085094D"/>
    <w:rsid w:val="00851030"/>
    <w:rsid w:val="008635F8"/>
    <w:rsid w:val="008635FD"/>
    <w:rsid w:val="008654DE"/>
    <w:rsid w:val="0086756E"/>
    <w:rsid w:val="00883B7C"/>
    <w:rsid w:val="00886116"/>
    <w:rsid w:val="00890EC0"/>
    <w:rsid w:val="00891D53"/>
    <w:rsid w:val="0089225B"/>
    <w:rsid w:val="00892E62"/>
    <w:rsid w:val="00897327"/>
    <w:rsid w:val="008A03DB"/>
    <w:rsid w:val="008A4B5E"/>
    <w:rsid w:val="008A5252"/>
    <w:rsid w:val="008A5BF8"/>
    <w:rsid w:val="008B0679"/>
    <w:rsid w:val="008B1E9D"/>
    <w:rsid w:val="008B282A"/>
    <w:rsid w:val="008B30B7"/>
    <w:rsid w:val="008C20EF"/>
    <w:rsid w:val="008C6BBE"/>
    <w:rsid w:val="008D229C"/>
    <w:rsid w:val="008D71B9"/>
    <w:rsid w:val="008F1771"/>
    <w:rsid w:val="008F6CCB"/>
    <w:rsid w:val="0090761F"/>
    <w:rsid w:val="00907A1D"/>
    <w:rsid w:val="009113F3"/>
    <w:rsid w:val="009206A4"/>
    <w:rsid w:val="00920EE5"/>
    <w:rsid w:val="00923479"/>
    <w:rsid w:val="00924A5F"/>
    <w:rsid w:val="00925096"/>
    <w:rsid w:val="00940235"/>
    <w:rsid w:val="00942F1E"/>
    <w:rsid w:val="00944258"/>
    <w:rsid w:val="0094461B"/>
    <w:rsid w:val="0094550D"/>
    <w:rsid w:val="00947842"/>
    <w:rsid w:val="0095192A"/>
    <w:rsid w:val="009519FE"/>
    <w:rsid w:val="00954C29"/>
    <w:rsid w:val="00962E82"/>
    <w:rsid w:val="009659FB"/>
    <w:rsid w:val="009667D7"/>
    <w:rsid w:val="009718BF"/>
    <w:rsid w:val="009727A2"/>
    <w:rsid w:val="00981A43"/>
    <w:rsid w:val="00982357"/>
    <w:rsid w:val="009856B2"/>
    <w:rsid w:val="00987E62"/>
    <w:rsid w:val="00993435"/>
    <w:rsid w:val="00993B22"/>
    <w:rsid w:val="00994A9D"/>
    <w:rsid w:val="009968FA"/>
    <w:rsid w:val="00996FCA"/>
    <w:rsid w:val="00997403"/>
    <w:rsid w:val="009A04D5"/>
    <w:rsid w:val="009A3D4B"/>
    <w:rsid w:val="009B1249"/>
    <w:rsid w:val="009B4815"/>
    <w:rsid w:val="009B5624"/>
    <w:rsid w:val="009C3A11"/>
    <w:rsid w:val="009C3A7F"/>
    <w:rsid w:val="009D0E20"/>
    <w:rsid w:val="009D34DD"/>
    <w:rsid w:val="009D36E9"/>
    <w:rsid w:val="009D40DB"/>
    <w:rsid w:val="009E2AB1"/>
    <w:rsid w:val="009E77BC"/>
    <w:rsid w:val="009F0247"/>
    <w:rsid w:val="009F1DB1"/>
    <w:rsid w:val="009F3A7B"/>
    <w:rsid w:val="009F67A7"/>
    <w:rsid w:val="009F74E1"/>
    <w:rsid w:val="009F7E6D"/>
    <w:rsid w:val="00A00F1D"/>
    <w:rsid w:val="00A0450E"/>
    <w:rsid w:val="00A07AEA"/>
    <w:rsid w:val="00A100A9"/>
    <w:rsid w:val="00A11DF7"/>
    <w:rsid w:val="00A1425A"/>
    <w:rsid w:val="00A15BF0"/>
    <w:rsid w:val="00A16B0E"/>
    <w:rsid w:val="00A16E32"/>
    <w:rsid w:val="00A21FD6"/>
    <w:rsid w:val="00A22E43"/>
    <w:rsid w:val="00A22E7B"/>
    <w:rsid w:val="00A2717C"/>
    <w:rsid w:val="00A32373"/>
    <w:rsid w:val="00A4039B"/>
    <w:rsid w:val="00A517E6"/>
    <w:rsid w:val="00A5434B"/>
    <w:rsid w:val="00A60B30"/>
    <w:rsid w:val="00A613F0"/>
    <w:rsid w:val="00A6758E"/>
    <w:rsid w:val="00A73058"/>
    <w:rsid w:val="00A77FD0"/>
    <w:rsid w:val="00A80A7A"/>
    <w:rsid w:val="00A84882"/>
    <w:rsid w:val="00A87F17"/>
    <w:rsid w:val="00A91E71"/>
    <w:rsid w:val="00A940CE"/>
    <w:rsid w:val="00A94668"/>
    <w:rsid w:val="00A95F4B"/>
    <w:rsid w:val="00AA0071"/>
    <w:rsid w:val="00AB0254"/>
    <w:rsid w:val="00AB35B2"/>
    <w:rsid w:val="00AB4A0E"/>
    <w:rsid w:val="00AB78C0"/>
    <w:rsid w:val="00AC060B"/>
    <w:rsid w:val="00AC1486"/>
    <w:rsid w:val="00AC2238"/>
    <w:rsid w:val="00AC6AD2"/>
    <w:rsid w:val="00AD4ACB"/>
    <w:rsid w:val="00AD5471"/>
    <w:rsid w:val="00AD6E26"/>
    <w:rsid w:val="00AE0F94"/>
    <w:rsid w:val="00AE30F8"/>
    <w:rsid w:val="00AF2AA5"/>
    <w:rsid w:val="00B0254F"/>
    <w:rsid w:val="00B1247A"/>
    <w:rsid w:val="00B12500"/>
    <w:rsid w:val="00B14617"/>
    <w:rsid w:val="00B17065"/>
    <w:rsid w:val="00B26059"/>
    <w:rsid w:val="00B26304"/>
    <w:rsid w:val="00B31F10"/>
    <w:rsid w:val="00B3317A"/>
    <w:rsid w:val="00B37F46"/>
    <w:rsid w:val="00B414FC"/>
    <w:rsid w:val="00B437E7"/>
    <w:rsid w:val="00B5437B"/>
    <w:rsid w:val="00B54B50"/>
    <w:rsid w:val="00B55399"/>
    <w:rsid w:val="00B60DB4"/>
    <w:rsid w:val="00B63544"/>
    <w:rsid w:val="00B65128"/>
    <w:rsid w:val="00B73F9A"/>
    <w:rsid w:val="00B74346"/>
    <w:rsid w:val="00B7581E"/>
    <w:rsid w:val="00B810E4"/>
    <w:rsid w:val="00B863EC"/>
    <w:rsid w:val="00B87961"/>
    <w:rsid w:val="00B9078A"/>
    <w:rsid w:val="00B9103A"/>
    <w:rsid w:val="00B93F62"/>
    <w:rsid w:val="00BA2BBA"/>
    <w:rsid w:val="00BA3077"/>
    <w:rsid w:val="00BA5A5C"/>
    <w:rsid w:val="00BA5C96"/>
    <w:rsid w:val="00BB45CB"/>
    <w:rsid w:val="00BC4FD3"/>
    <w:rsid w:val="00BC7E03"/>
    <w:rsid w:val="00BC7FAA"/>
    <w:rsid w:val="00BD0FDA"/>
    <w:rsid w:val="00BD1108"/>
    <w:rsid w:val="00BD3E22"/>
    <w:rsid w:val="00BD408E"/>
    <w:rsid w:val="00BE5BBF"/>
    <w:rsid w:val="00BF19DD"/>
    <w:rsid w:val="00BF1B2B"/>
    <w:rsid w:val="00BF5673"/>
    <w:rsid w:val="00C04426"/>
    <w:rsid w:val="00C0558E"/>
    <w:rsid w:val="00C05EF4"/>
    <w:rsid w:val="00C06196"/>
    <w:rsid w:val="00C0777C"/>
    <w:rsid w:val="00C14E62"/>
    <w:rsid w:val="00C15EB6"/>
    <w:rsid w:val="00C16C26"/>
    <w:rsid w:val="00C26694"/>
    <w:rsid w:val="00C2707D"/>
    <w:rsid w:val="00C331F8"/>
    <w:rsid w:val="00C333F7"/>
    <w:rsid w:val="00C3423F"/>
    <w:rsid w:val="00C35B26"/>
    <w:rsid w:val="00C40BED"/>
    <w:rsid w:val="00C4145B"/>
    <w:rsid w:val="00C43FE2"/>
    <w:rsid w:val="00C5018A"/>
    <w:rsid w:val="00C607EC"/>
    <w:rsid w:val="00C655E8"/>
    <w:rsid w:val="00C710F7"/>
    <w:rsid w:val="00C743EB"/>
    <w:rsid w:val="00C77CEC"/>
    <w:rsid w:val="00C80B58"/>
    <w:rsid w:val="00C80D15"/>
    <w:rsid w:val="00C849B7"/>
    <w:rsid w:val="00C91991"/>
    <w:rsid w:val="00C9201F"/>
    <w:rsid w:val="00CA1700"/>
    <w:rsid w:val="00CA1925"/>
    <w:rsid w:val="00CA3E43"/>
    <w:rsid w:val="00CA4819"/>
    <w:rsid w:val="00CA599A"/>
    <w:rsid w:val="00CA60A2"/>
    <w:rsid w:val="00CA64F9"/>
    <w:rsid w:val="00CA64FA"/>
    <w:rsid w:val="00CA6FDF"/>
    <w:rsid w:val="00CA72FA"/>
    <w:rsid w:val="00CB4B3F"/>
    <w:rsid w:val="00CB4FFA"/>
    <w:rsid w:val="00CB57FF"/>
    <w:rsid w:val="00CB679E"/>
    <w:rsid w:val="00CB774B"/>
    <w:rsid w:val="00CD680C"/>
    <w:rsid w:val="00CE03FE"/>
    <w:rsid w:val="00CE1BFF"/>
    <w:rsid w:val="00CE1D95"/>
    <w:rsid w:val="00CE5542"/>
    <w:rsid w:val="00CE5567"/>
    <w:rsid w:val="00CF0764"/>
    <w:rsid w:val="00CF18D0"/>
    <w:rsid w:val="00CF300E"/>
    <w:rsid w:val="00D025A7"/>
    <w:rsid w:val="00D0320F"/>
    <w:rsid w:val="00D040D0"/>
    <w:rsid w:val="00D044FA"/>
    <w:rsid w:val="00D23407"/>
    <w:rsid w:val="00D24477"/>
    <w:rsid w:val="00D334D4"/>
    <w:rsid w:val="00D33B4C"/>
    <w:rsid w:val="00D34538"/>
    <w:rsid w:val="00D34BB4"/>
    <w:rsid w:val="00D354D4"/>
    <w:rsid w:val="00D361BE"/>
    <w:rsid w:val="00D37009"/>
    <w:rsid w:val="00D401CF"/>
    <w:rsid w:val="00D40272"/>
    <w:rsid w:val="00D419EE"/>
    <w:rsid w:val="00D42130"/>
    <w:rsid w:val="00D47B32"/>
    <w:rsid w:val="00D47FC4"/>
    <w:rsid w:val="00D6369B"/>
    <w:rsid w:val="00D70D1F"/>
    <w:rsid w:val="00D71412"/>
    <w:rsid w:val="00D72EEA"/>
    <w:rsid w:val="00D7783F"/>
    <w:rsid w:val="00D85658"/>
    <w:rsid w:val="00D90AED"/>
    <w:rsid w:val="00D92227"/>
    <w:rsid w:val="00D9486C"/>
    <w:rsid w:val="00DA1C07"/>
    <w:rsid w:val="00DA3D87"/>
    <w:rsid w:val="00DA4CA0"/>
    <w:rsid w:val="00DA54AA"/>
    <w:rsid w:val="00DB1343"/>
    <w:rsid w:val="00DC4958"/>
    <w:rsid w:val="00DC5CF7"/>
    <w:rsid w:val="00DD0DC4"/>
    <w:rsid w:val="00DD46C8"/>
    <w:rsid w:val="00DD5A2B"/>
    <w:rsid w:val="00DD6388"/>
    <w:rsid w:val="00DD6E39"/>
    <w:rsid w:val="00DE0460"/>
    <w:rsid w:val="00DE5228"/>
    <w:rsid w:val="00DE66AC"/>
    <w:rsid w:val="00DF0ED7"/>
    <w:rsid w:val="00DF0FA7"/>
    <w:rsid w:val="00DF4971"/>
    <w:rsid w:val="00DF4A86"/>
    <w:rsid w:val="00E012BA"/>
    <w:rsid w:val="00E02FD5"/>
    <w:rsid w:val="00E04A00"/>
    <w:rsid w:val="00E05C76"/>
    <w:rsid w:val="00E05D29"/>
    <w:rsid w:val="00E103DB"/>
    <w:rsid w:val="00E110E9"/>
    <w:rsid w:val="00E11D80"/>
    <w:rsid w:val="00E17199"/>
    <w:rsid w:val="00E21953"/>
    <w:rsid w:val="00E22613"/>
    <w:rsid w:val="00E22BEB"/>
    <w:rsid w:val="00E26FA9"/>
    <w:rsid w:val="00E279C1"/>
    <w:rsid w:val="00E27D31"/>
    <w:rsid w:val="00E3108B"/>
    <w:rsid w:val="00E35960"/>
    <w:rsid w:val="00E35D5C"/>
    <w:rsid w:val="00E35EA6"/>
    <w:rsid w:val="00E37C6A"/>
    <w:rsid w:val="00E40AC8"/>
    <w:rsid w:val="00E41C89"/>
    <w:rsid w:val="00E4682B"/>
    <w:rsid w:val="00E46AD3"/>
    <w:rsid w:val="00E50C0A"/>
    <w:rsid w:val="00E53BE1"/>
    <w:rsid w:val="00E5667A"/>
    <w:rsid w:val="00E6250E"/>
    <w:rsid w:val="00E64602"/>
    <w:rsid w:val="00E70E36"/>
    <w:rsid w:val="00E7210A"/>
    <w:rsid w:val="00E8119F"/>
    <w:rsid w:val="00E85AAD"/>
    <w:rsid w:val="00E93B53"/>
    <w:rsid w:val="00E95ABA"/>
    <w:rsid w:val="00E9761F"/>
    <w:rsid w:val="00EA0D97"/>
    <w:rsid w:val="00EA1DDE"/>
    <w:rsid w:val="00EA61A5"/>
    <w:rsid w:val="00EA6FFF"/>
    <w:rsid w:val="00EB1255"/>
    <w:rsid w:val="00EC1AAD"/>
    <w:rsid w:val="00EC1E46"/>
    <w:rsid w:val="00EC39BB"/>
    <w:rsid w:val="00EC44B7"/>
    <w:rsid w:val="00EC6A1E"/>
    <w:rsid w:val="00ED3239"/>
    <w:rsid w:val="00EE154E"/>
    <w:rsid w:val="00EE32F3"/>
    <w:rsid w:val="00EF0EAE"/>
    <w:rsid w:val="00EF0FCE"/>
    <w:rsid w:val="00EF3372"/>
    <w:rsid w:val="00EF4DEE"/>
    <w:rsid w:val="00EF5A67"/>
    <w:rsid w:val="00EF5FFA"/>
    <w:rsid w:val="00EF7E33"/>
    <w:rsid w:val="00F0055A"/>
    <w:rsid w:val="00F028FC"/>
    <w:rsid w:val="00F037D9"/>
    <w:rsid w:val="00F050DB"/>
    <w:rsid w:val="00F1061C"/>
    <w:rsid w:val="00F122C1"/>
    <w:rsid w:val="00F13D9B"/>
    <w:rsid w:val="00F17DAE"/>
    <w:rsid w:val="00F23207"/>
    <w:rsid w:val="00F23E58"/>
    <w:rsid w:val="00F264F4"/>
    <w:rsid w:val="00F30F34"/>
    <w:rsid w:val="00F35F02"/>
    <w:rsid w:val="00F367CC"/>
    <w:rsid w:val="00F51ED1"/>
    <w:rsid w:val="00F52030"/>
    <w:rsid w:val="00F523D2"/>
    <w:rsid w:val="00F533E0"/>
    <w:rsid w:val="00F535DD"/>
    <w:rsid w:val="00F541F2"/>
    <w:rsid w:val="00F628B4"/>
    <w:rsid w:val="00F67021"/>
    <w:rsid w:val="00F724E8"/>
    <w:rsid w:val="00F73B78"/>
    <w:rsid w:val="00F75BA5"/>
    <w:rsid w:val="00F8127C"/>
    <w:rsid w:val="00F85089"/>
    <w:rsid w:val="00F852F4"/>
    <w:rsid w:val="00F87433"/>
    <w:rsid w:val="00F8784C"/>
    <w:rsid w:val="00F91C3E"/>
    <w:rsid w:val="00FA08E3"/>
    <w:rsid w:val="00FA199C"/>
    <w:rsid w:val="00FA2DB8"/>
    <w:rsid w:val="00FA3167"/>
    <w:rsid w:val="00FA3DD4"/>
    <w:rsid w:val="00FA62D7"/>
    <w:rsid w:val="00FA6677"/>
    <w:rsid w:val="00FB2585"/>
    <w:rsid w:val="00FB29D7"/>
    <w:rsid w:val="00FB39FF"/>
    <w:rsid w:val="00FB67E8"/>
    <w:rsid w:val="00FC01B4"/>
    <w:rsid w:val="00FC0DAD"/>
    <w:rsid w:val="00FC1F88"/>
    <w:rsid w:val="00FC5D78"/>
    <w:rsid w:val="00FD28ED"/>
    <w:rsid w:val="00FD6677"/>
    <w:rsid w:val="00FE33D3"/>
    <w:rsid w:val="00FF0CA5"/>
    <w:rsid w:val="00FF1194"/>
    <w:rsid w:val="00FF2A13"/>
    <w:rsid w:val="00FF3A1E"/>
    <w:rsid w:val="00FF5663"/>
    <w:rsid w:val="03BB1801"/>
    <w:rsid w:val="040A1448"/>
    <w:rsid w:val="066E7690"/>
    <w:rsid w:val="089760E9"/>
    <w:rsid w:val="0BBF7BF0"/>
    <w:rsid w:val="106628CE"/>
    <w:rsid w:val="10E26B72"/>
    <w:rsid w:val="12566BDF"/>
    <w:rsid w:val="1363426E"/>
    <w:rsid w:val="16C21893"/>
    <w:rsid w:val="18F15A43"/>
    <w:rsid w:val="1C2C3AE8"/>
    <w:rsid w:val="1E3E5185"/>
    <w:rsid w:val="22F61EBE"/>
    <w:rsid w:val="234F3E0A"/>
    <w:rsid w:val="23CD15D4"/>
    <w:rsid w:val="24860DA6"/>
    <w:rsid w:val="286030D3"/>
    <w:rsid w:val="2B0E2D6A"/>
    <w:rsid w:val="2B1272F8"/>
    <w:rsid w:val="2B636F56"/>
    <w:rsid w:val="2EB61E3E"/>
    <w:rsid w:val="2F1313D3"/>
    <w:rsid w:val="2F9C7D20"/>
    <w:rsid w:val="3022092C"/>
    <w:rsid w:val="30AA1B0A"/>
    <w:rsid w:val="32605768"/>
    <w:rsid w:val="34FA114C"/>
    <w:rsid w:val="36164B7C"/>
    <w:rsid w:val="383A0078"/>
    <w:rsid w:val="3A5C2E83"/>
    <w:rsid w:val="3CC8560D"/>
    <w:rsid w:val="3E9636C5"/>
    <w:rsid w:val="3F2F5969"/>
    <w:rsid w:val="41AB4109"/>
    <w:rsid w:val="422A0A6F"/>
    <w:rsid w:val="43BA2446"/>
    <w:rsid w:val="443F3270"/>
    <w:rsid w:val="449638C0"/>
    <w:rsid w:val="4B965CFD"/>
    <w:rsid w:val="4F7F4834"/>
    <w:rsid w:val="51881C50"/>
    <w:rsid w:val="518B3401"/>
    <w:rsid w:val="51B87D91"/>
    <w:rsid w:val="528C26F6"/>
    <w:rsid w:val="538F4756"/>
    <w:rsid w:val="5A084BAF"/>
    <w:rsid w:val="5CE46342"/>
    <w:rsid w:val="5D4F2C2E"/>
    <w:rsid w:val="5DF84CB3"/>
    <w:rsid w:val="5E06325A"/>
    <w:rsid w:val="5F4A6EA5"/>
    <w:rsid w:val="5F6B54FD"/>
    <w:rsid w:val="60341F1D"/>
    <w:rsid w:val="62CE5A67"/>
    <w:rsid w:val="65C037F5"/>
    <w:rsid w:val="66BE1FD9"/>
    <w:rsid w:val="68B236A5"/>
    <w:rsid w:val="6A7F659B"/>
    <w:rsid w:val="6CEB14E8"/>
    <w:rsid w:val="6DB81EAB"/>
    <w:rsid w:val="73645AD3"/>
    <w:rsid w:val="7C610DA4"/>
    <w:rsid w:val="7CCB410E"/>
    <w:rsid w:val="7D851F5E"/>
    <w:rsid w:val="7DC11B98"/>
    <w:rsid w:val="7F9055C6"/>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name="toc 1" w:locked="1"/>
    <w:lsdException w:qFormat="1" w:unhideWhenUsed="0" w:uiPriority="99" w:name="toc 2" w:locked="1"/>
    <w:lsdException w:qFormat="1" w:unhideWhenUsed="0" w:uiPriority="99" w:name="toc 3" w:locked="1"/>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iPriority="99"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sdException w:uiPriority="99" w:name="Closing" w:locked="1"/>
    <w:lsdException w:uiPriority="99" w:name="Signature" w:locked="1"/>
    <w:lsdException w:qFormat="1" w:unhideWhenUsed="0" w:uiPriority="99" w:name="Default Paragraph Font"/>
    <w:lsdException w:uiPriority="99" w:name="Body Text" w:locked="1"/>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uiPriority="99" w:name="Block Text" w:locked="1"/>
    <w:lsdException w:qFormat="1" w:unhideWhenUsed="0" w:uiPriority="99" w:semiHidden="0" w:name="Hyperlink"/>
    <w:lsdException w:qFormat="1" w:unhideWhenUsed="0" w:uiPriority="99" w:semiHidden="0" w:name="FollowedHyperlink"/>
    <w:lsdException w:qFormat="1" w:unhideWhenUsed="0" w:uiPriority="99" w:semiHidden="0" w:name="Strong" w:locked="1"/>
    <w:lsdException w:qFormat="1" w:unhideWhenUsed="0" w:uiPriority="0" w:semiHidden="0" w:name="Emphasis"/>
    <w:lsdException w:uiPriority="99" w:name="Document Map" w:locked="1"/>
    <w:lsdException w:uiPriority="99" w:name="Plain Text" w:locked="1"/>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uiPriority="99" w:name="Balloon Text" w:locked="1"/>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方正仿宋_GBK" w:cs="Calibri"/>
      <w:kern w:val="2"/>
      <w:sz w:val="32"/>
      <w:szCs w:val="32"/>
      <w:lang w:val="en-US" w:eastAsia="zh-CN" w:bidi="ar-SA"/>
    </w:rPr>
  </w:style>
  <w:style w:type="paragraph" w:styleId="2">
    <w:name w:val="heading 1"/>
    <w:basedOn w:val="1"/>
    <w:next w:val="1"/>
    <w:link w:val="18"/>
    <w:qFormat/>
    <w:locked/>
    <w:uiPriority w:val="99"/>
    <w:pPr>
      <w:keepNext/>
      <w:keepLines/>
      <w:spacing w:before="340" w:after="330" w:line="578" w:lineRule="auto"/>
      <w:outlineLvl w:val="0"/>
    </w:pPr>
    <w:rPr>
      <w:b/>
      <w:bCs/>
      <w:kern w:val="44"/>
      <w:sz w:val="44"/>
      <w:szCs w:val="44"/>
    </w:rPr>
  </w:style>
  <w:style w:type="paragraph" w:styleId="3">
    <w:name w:val="heading 2"/>
    <w:basedOn w:val="1"/>
    <w:next w:val="1"/>
    <w:link w:val="19"/>
    <w:qFormat/>
    <w:locked/>
    <w:uiPriority w:val="99"/>
    <w:pPr>
      <w:keepNext/>
      <w:keepLines/>
      <w:spacing w:before="260" w:after="260" w:line="416" w:lineRule="auto"/>
      <w:outlineLvl w:val="1"/>
    </w:pPr>
    <w:rPr>
      <w:rFonts w:ascii="Arial" w:hAnsi="Arial" w:eastAsia="黑体" w:cs="Arial"/>
      <w:b/>
      <w:bCs/>
    </w:rPr>
  </w:style>
  <w:style w:type="character" w:default="1" w:styleId="13">
    <w:name w:val="Default Paragraph Font"/>
    <w:semiHidden/>
    <w:qFormat/>
    <w:uiPriority w:val="99"/>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4">
    <w:name w:val="toc 3"/>
    <w:basedOn w:val="1"/>
    <w:next w:val="1"/>
    <w:semiHidden/>
    <w:qFormat/>
    <w:locked/>
    <w:uiPriority w:val="99"/>
    <w:pPr>
      <w:ind w:left="840" w:leftChars="400"/>
    </w:pPr>
  </w:style>
  <w:style w:type="paragraph" w:styleId="5">
    <w:name w:val="footer"/>
    <w:basedOn w:val="1"/>
    <w:link w:val="20"/>
    <w:qFormat/>
    <w:uiPriority w:val="99"/>
    <w:pPr>
      <w:tabs>
        <w:tab w:val="center" w:pos="4153"/>
        <w:tab w:val="right" w:pos="8306"/>
      </w:tabs>
      <w:snapToGrid w:val="0"/>
      <w:jc w:val="left"/>
    </w:pPr>
    <w:rPr>
      <w:sz w:val="18"/>
      <w:szCs w:val="18"/>
    </w:rPr>
  </w:style>
  <w:style w:type="paragraph" w:styleId="6">
    <w:name w:val="header"/>
    <w:basedOn w:val="1"/>
    <w:link w:val="21"/>
    <w:qFormat/>
    <w:uiPriority w:val="99"/>
    <w:pPr>
      <w:pBdr>
        <w:bottom w:val="single" w:color="auto" w:sz="6" w:space="1"/>
      </w:pBdr>
      <w:tabs>
        <w:tab w:val="center" w:pos="4153"/>
        <w:tab w:val="right" w:pos="8306"/>
      </w:tabs>
      <w:snapToGrid w:val="0"/>
      <w:jc w:val="center"/>
    </w:pPr>
    <w:rPr>
      <w:sz w:val="18"/>
      <w:szCs w:val="18"/>
    </w:rPr>
  </w:style>
  <w:style w:type="paragraph" w:styleId="7">
    <w:name w:val="toc 1"/>
    <w:basedOn w:val="1"/>
    <w:next w:val="1"/>
    <w:semiHidden/>
    <w:qFormat/>
    <w:locked/>
    <w:uiPriority w:val="99"/>
  </w:style>
  <w:style w:type="paragraph" w:styleId="8">
    <w:name w:val="toc 2"/>
    <w:basedOn w:val="1"/>
    <w:next w:val="1"/>
    <w:semiHidden/>
    <w:qFormat/>
    <w:locked/>
    <w:uiPriority w:val="99"/>
    <w:pPr>
      <w:ind w:left="420" w:leftChars="200"/>
    </w:pPr>
  </w:style>
  <w:style w:type="paragraph" w:styleId="9">
    <w:name w:val="HTML Preformatted"/>
    <w:basedOn w:val="1"/>
    <w:link w:val="22"/>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Times New Roman" w:eastAsia="宋体" w:cs="宋体"/>
      <w:kern w:val="0"/>
      <w:sz w:val="24"/>
      <w:szCs w:val="24"/>
    </w:rPr>
  </w:style>
  <w:style w:type="paragraph" w:styleId="10">
    <w:name w:val="Normal (Web)"/>
    <w:basedOn w:val="1"/>
    <w:qFormat/>
    <w:uiPriority w:val="99"/>
    <w:pPr>
      <w:widowControl/>
      <w:spacing w:beforeAutospacing="1" w:afterAutospacing="1"/>
      <w:jc w:val="left"/>
    </w:pPr>
    <w:rPr>
      <w:rFonts w:ascii="宋体" w:hAnsi="宋体" w:eastAsia="宋体" w:cs="宋体"/>
      <w:kern w:val="0"/>
      <w:sz w:val="24"/>
      <w:szCs w:val="24"/>
    </w:rPr>
  </w:style>
  <w:style w:type="table" w:styleId="12">
    <w:name w:val="Table Grid"/>
    <w:basedOn w:val="11"/>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locked/>
    <w:uiPriority w:val="99"/>
    <w:rPr>
      <w:rFonts w:cs="Times New Roman"/>
      <w:b/>
      <w:bCs/>
    </w:rPr>
  </w:style>
  <w:style w:type="character" w:styleId="15">
    <w:name w:val="page number"/>
    <w:basedOn w:val="13"/>
    <w:qFormat/>
    <w:uiPriority w:val="99"/>
    <w:rPr>
      <w:rFonts w:cs="Times New Roman"/>
    </w:rPr>
  </w:style>
  <w:style w:type="character" w:styleId="16">
    <w:name w:val="FollowedHyperlink"/>
    <w:basedOn w:val="13"/>
    <w:qFormat/>
    <w:uiPriority w:val="99"/>
    <w:rPr>
      <w:rFonts w:cs="Times New Roman"/>
      <w:color w:val="800080"/>
      <w:u w:val="single"/>
    </w:rPr>
  </w:style>
  <w:style w:type="character" w:styleId="17">
    <w:name w:val="Hyperlink"/>
    <w:basedOn w:val="13"/>
    <w:qFormat/>
    <w:uiPriority w:val="99"/>
    <w:rPr>
      <w:rFonts w:cs="Times New Roman"/>
      <w:color w:val="1D1D1D"/>
      <w:u w:val="none"/>
    </w:rPr>
  </w:style>
  <w:style w:type="character" w:customStyle="1" w:styleId="18">
    <w:name w:val="Heading 1 Char"/>
    <w:basedOn w:val="13"/>
    <w:link w:val="2"/>
    <w:qFormat/>
    <w:locked/>
    <w:uiPriority w:val="99"/>
    <w:rPr>
      <w:rFonts w:ascii="Calibri" w:hAnsi="Calibri" w:eastAsia="方正仿宋_GBK" w:cs="Calibri"/>
      <w:b/>
      <w:bCs/>
      <w:kern w:val="44"/>
      <w:sz w:val="44"/>
      <w:szCs w:val="44"/>
    </w:rPr>
  </w:style>
  <w:style w:type="character" w:customStyle="1" w:styleId="19">
    <w:name w:val="Heading 2 Char"/>
    <w:basedOn w:val="13"/>
    <w:link w:val="3"/>
    <w:semiHidden/>
    <w:qFormat/>
    <w:locked/>
    <w:uiPriority w:val="99"/>
    <w:rPr>
      <w:rFonts w:ascii="Cambria" w:hAnsi="Cambria" w:eastAsia="宋体" w:cs="Cambria"/>
      <w:b/>
      <w:bCs/>
      <w:sz w:val="32"/>
      <w:szCs w:val="32"/>
    </w:rPr>
  </w:style>
  <w:style w:type="character" w:customStyle="1" w:styleId="20">
    <w:name w:val="Footer Char"/>
    <w:basedOn w:val="13"/>
    <w:link w:val="5"/>
    <w:qFormat/>
    <w:locked/>
    <w:uiPriority w:val="99"/>
    <w:rPr>
      <w:rFonts w:eastAsia="方正仿宋_GBK" w:cs="Times New Roman"/>
      <w:sz w:val="18"/>
      <w:szCs w:val="18"/>
    </w:rPr>
  </w:style>
  <w:style w:type="character" w:customStyle="1" w:styleId="21">
    <w:name w:val="Header Char"/>
    <w:basedOn w:val="13"/>
    <w:link w:val="6"/>
    <w:semiHidden/>
    <w:qFormat/>
    <w:locked/>
    <w:uiPriority w:val="99"/>
    <w:rPr>
      <w:rFonts w:eastAsia="方正仿宋_GBK" w:cs="Times New Roman"/>
      <w:sz w:val="18"/>
      <w:szCs w:val="18"/>
    </w:rPr>
  </w:style>
  <w:style w:type="character" w:customStyle="1" w:styleId="22">
    <w:name w:val="HTML Preformatted Char"/>
    <w:basedOn w:val="13"/>
    <w:link w:val="9"/>
    <w:qFormat/>
    <w:locked/>
    <w:uiPriority w:val="99"/>
    <w:rPr>
      <w:rFonts w:ascii="宋体" w:hAnsi="宋体" w:eastAsia="宋体" w:cs="宋体"/>
      <w:sz w:val="24"/>
      <w:szCs w:val="24"/>
    </w:rPr>
  </w:style>
  <w:style w:type="paragraph" w:customStyle="1" w:styleId="23">
    <w:name w:val="默认段落字体 Para Char Char Char Char Char Char Char"/>
    <w:basedOn w:val="1"/>
    <w:qFormat/>
    <w:uiPriority w:val="99"/>
    <w:rPr>
      <w:rFonts w:ascii="Times New Roman" w:hAnsi="Times New Roman" w:eastAsia="仿宋_GB2312" w:cs="Times New Roman"/>
    </w:rPr>
  </w:style>
  <w:style w:type="paragraph" w:customStyle="1" w:styleId="24">
    <w:name w:val="样式"/>
    <w:basedOn w:val="1"/>
    <w:qFormat/>
    <w:uiPriority w:val="99"/>
    <w:pPr>
      <w:ind w:firstLine="420" w:firstLineChars="200"/>
    </w:pPr>
    <w:rPr>
      <w:rFonts w:eastAsia="宋体"/>
      <w:sz w:val="21"/>
      <w:szCs w:val="21"/>
    </w:rPr>
  </w:style>
  <w:style w:type="paragraph" w:customStyle="1" w:styleId="25">
    <w:name w:val="Char Char Char Char"/>
    <w:basedOn w:val="1"/>
    <w:qFormat/>
    <w:uiPriority w:val="99"/>
    <w:pPr>
      <w:widowControl/>
      <w:spacing w:after="160" w:line="240" w:lineRule="exact"/>
      <w:jc w:val="left"/>
    </w:pPr>
    <w:rPr>
      <w:rFonts w:ascii="Verdana" w:hAnsi="Verdana" w:eastAsia="仿宋_GB2312" w:cs="Verdana"/>
      <w:kern w:val="0"/>
      <w:sz w:val="24"/>
      <w:szCs w:val="24"/>
      <w:lang w:eastAsia="en-US"/>
    </w:rPr>
  </w:style>
  <w:style w:type="paragraph" w:customStyle="1" w:styleId="26">
    <w:name w:val="Body text|1"/>
    <w:basedOn w:val="1"/>
    <w:qFormat/>
    <w:uiPriority w:val="0"/>
    <w:pPr>
      <w:widowControl w:val="0"/>
      <w:shd w:val="clear" w:color="auto" w:fill="auto"/>
      <w:spacing w:line="398" w:lineRule="auto"/>
      <w:ind w:firstLine="400"/>
    </w:pPr>
    <w:rPr>
      <w:rFonts w:ascii="宋体" w:hAnsi="宋体" w:eastAsia="宋体" w:cs="宋体"/>
      <w:sz w:val="30"/>
      <w:szCs w:val="30"/>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chart" Target="charts/chart4.xml"/><Relationship Id="rId8" Type="http://schemas.openxmlformats.org/officeDocument/2006/relationships/chart" Target="charts/chart3.xml"/><Relationship Id="rId7" Type="http://schemas.openxmlformats.org/officeDocument/2006/relationships/chart" Target="charts/chart2.xml"/><Relationship Id="rId6" Type="http://schemas.openxmlformats.org/officeDocument/2006/relationships/chart" Target="charts/chart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image" Target="media/image7.jpe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chart" Target="charts/chart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6" Type="http://schemas.microsoft.com/office/2011/relationships/chartColorStyle" Target="colors1.xml"/><Relationship Id="rId5" Type="http://schemas.microsoft.com/office/2011/relationships/chartStyle" Target="style1.xml"/><Relationship Id="rId4" Type="http://schemas.openxmlformats.org/officeDocument/2006/relationships/image" Target="../media/image9.png"/><Relationship Id="rId3" Type="http://schemas.openxmlformats.org/officeDocument/2006/relationships/image" Target="../media/image8.png"/><Relationship Id="rId2" Type="http://schemas.openxmlformats.org/officeDocument/2006/relationships/themeOverride" Target="../theme/themeOverride1.xml"/><Relationship Id="rId1" Type="http://schemas.openxmlformats.org/officeDocument/2006/relationships/oleObject" Target="file:///C:\Users\Administrator\Desktop\&#38468;&#20214;5%202020&#24180;&#24230;&#20013;&#31561;&#32844;&#19994;&#23398;&#26657;&#32534;&#21046;&#36136;&#37327;&#25253;&#21578;&#30456;&#20851;&#25968;&#25454;&#34920;.xlsx" TargetMode="External"/></Relationships>
</file>

<file path=word/charts/_rels/chart2.xml.rels><?xml version="1.0" encoding="UTF-8" standalone="yes"?>
<Relationships xmlns="http://schemas.openxmlformats.org/package/2006/relationships"><Relationship Id="rId6" Type="http://schemas.microsoft.com/office/2011/relationships/chartColorStyle" Target="colors4.xml"/><Relationship Id="rId5" Type="http://schemas.microsoft.com/office/2011/relationships/chartStyle" Target="style4.xml"/><Relationship Id="rId4" Type="http://schemas.openxmlformats.org/officeDocument/2006/relationships/image" Target="../media/image9.png"/><Relationship Id="rId3" Type="http://schemas.openxmlformats.org/officeDocument/2006/relationships/image" Target="../media/image8.png"/><Relationship Id="rId2" Type="http://schemas.openxmlformats.org/officeDocument/2006/relationships/themeOverride" Target="../theme/themeOverride4.xml"/><Relationship Id="rId1" Type="http://schemas.openxmlformats.org/officeDocument/2006/relationships/oleObject" Target="file:///C:\Users\Administrator\Desktop\&#38468;&#20214;5%202020&#24180;&#24230;&#20013;&#31561;&#32844;&#19994;&#23398;&#26657;&#32534;&#21046;&#36136;&#37327;&#25253;&#21578;&#30456;&#20851;&#25968;&#25454;&#34920;.xlsx" TargetMode="External"/></Relationships>
</file>

<file path=word/charts/_rels/chart3.xml.rels><?xml version="1.0" encoding="UTF-8" standalone="yes"?>
<Relationships xmlns="http://schemas.openxmlformats.org/package/2006/relationships"><Relationship Id="rId6" Type="http://schemas.microsoft.com/office/2011/relationships/chartColorStyle" Target="colors5.xml"/><Relationship Id="rId5" Type="http://schemas.microsoft.com/office/2011/relationships/chartStyle" Target="style5.xml"/><Relationship Id="rId4" Type="http://schemas.openxmlformats.org/officeDocument/2006/relationships/image" Target="../media/image9.png"/><Relationship Id="rId3" Type="http://schemas.openxmlformats.org/officeDocument/2006/relationships/image" Target="../media/image8.png"/><Relationship Id="rId2" Type="http://schemas.openxmlformats.org/officeDocument/2006/relationships/themeOverride" Target="../theme/themeOverride5.xml"/><Relationship Id="rId1" Type="http://schemas.openxmlformats.org/officeDocument/2006/relationships/oleObject" Target="file:///I:\2019&#24180;&#20013;&#31561;&#32844;&#19994;&#24180;&#25253;\&#40657;&#40857;&#27743;&#30465;&#24037;&#31243;&#23398;&#26657;2020&#24180;&#36136;&#37327;&#24180;&#25253;&#36164;&#26009;\WORD&#29256;\&#38468;&#20214;5%202020&#24180;&#24230;&#20013;&#31561;&#32844;&#19994;&#23398;&#26657;&#32534;&#21046;&#36136;&#37327;&#25253;&#21578;&#30456;&#20851;&#25968;&#25454;&#34920;.xlsx" TargetMode="External"/></Relationships>
</file>

<file path=word/charts/_rels/chart4.xml.rels><?xml version="1.0" encoding="UTF-8" standalone="yes"?>
<Relationships xmlns="http://schemas.openxmlformats.org/package/2006/relationships"><Relationship Id="rId6" Type="http://schemas.microsoft.com/office/2011/relationships/chartColorStyle" Target="colors3.xml"/><Relationship Id="rId5" Type="http://schemas.microsoft.com/office/2011/relationships/chartStyle" Target="style3.xml"/><Relationship Id="rId4" Type="http://schemas.openxmlformats.org/officeDocument/2006/relationships/image" Target="../media/image9.png"/><Relationship Id="rId3" Type="http://schemas.openxmlformats.org/officeDocument/2006/relationships/image" Target="../media/image8.png"/><Relationship Id="rId2" Type="http://schemas.openxmlformats.org/officeDocument/2006/relationships/themeOverride" Target="../theme/themeOverride3.xml"/><Relationship Id="rId1" Type="http://schemas.openxmlformats.org/officeDocument/2006/relationships/oleObject" Target="file:///I:\2019&#24180;&#20013;&#31561;&#32844;&#19994;&#24180;&#25253;\&#40657;&#24037;&#31243;%20&#38468;&#20214;5&#65306;2019&#24180;&#24230;&#40657;&#40857;&#27743;&#30465;&#20013;&#31561;&#32844;&#19994;&#25945;&#32946;&#36136;&#37327;&#25253;&#21578;&#26680;&#24515;&#25968;&#25454;&#37319;&#38598;&#34920;.xls" TargetMode="External"/></Relationships>
</file>

<file path=word/charts/_rels/chart5.xml.rels><?xml version="1.0" encoding="UTF-8" standalone="yes"?>
<Relationships xmlns="http://schemas.openxmlformats.org/package/2006/relationships"><Relationship Id="rId6" Type="http://schemas.microsoft.com/office/2011/relationships/chartColorStyle" Target="colors2.xml"/><Relationship Id="rId5" Type="http://schemas.microsoft.com/office/2011/relationships/chartStyle" Target="style2.xml"/><Relationship Id="rId4" Type="http://schemas.openxmlformats.org/officeDocument/2006/relationships/image" Target="../media/image9.png"/><Relationship Id="rId3" Type="http://schemas.openxmlformats.org/officeDocument/2006/relationships/image" Target="../media/image8.png"/><Relationship Id="rId2" Type="http://schemas.openxmlformats.org/officeDocument/2006/relationships/themeOverride" Target="../theme/themeOverride2.xml"/><Relationship Id="rId1" Type="http://schemas.openxmlformats.org/officeDocument/2006/relationships/oleObject" Target="file:///C:\Users\Administrator\Desktop\&#38468;&#20214;5%202020&#24180;&#24230;&#20013;&#31561;&#32844;&#19994;&#23398;&#26657;&#32534;&#21046;&#36136;&#37327;&#25253;&#21578;&#30456;&#20851;&#25968;&#25454;&#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'[附件5 2020年度中等职业学校编制质量报告相关数据表.xlsx]1、学校基本情况'!$A$4</c:f>
              <c:strCache>
                <c:ptCount val="1"/>
                <c:pt idx="0">
                  <c:v>2018-2019</c:v>
                </c:pt>
              </c:strCache>
            </c:strRef>
          </c:tx>
          <c:spPr>
            <a:blipFill rotWithShape="1">
              <a:blip xmlns:r="http://schemas.openxmlformats.org/officeDocument/2006/relationships" r:embed="rId3"/>
              <a:stretch>
                <a:fillRect/>
              </a:stretch>
            </a:blipFill>
            <a:ln>
              <a:noFill/>
            </a:ln>
            <a:effectLst>
              <a:outerShdw blurRad="76200" dir="18900000" sy="23000" kx="-1200000" algn="bl" rotWithShape="0">
                <a:prstClr val="black">
                  <a:alpha val="20000"/>
                </a:prstClr>
              </a:outerShdw>
            </a:effectLst>
          </c:spPr>
          <c:invertIfNegative val="0"/>
          <c:dLbls>
            <c:delete val="1"/>
          </c:dLbls>
          <c:cat>
            <c:multiLvlStrRef>
              <c:extLst>
                <c:ext xmlns:c15="http://schemas.microsoft.com/office/drawing/2012/chart" uri="{02D57815-91ED-43cb-92C2-25804820EDAC}">
                  <c15:fullRef>
                    <c15:sqref>'[附件5 2020年度中等职业学校编制质量报告相关数据表.xlsx]1、学校基本情况'!$B$2:$K$3</c15:sqref>
                  </c15:fullRef>
                </c:ext>
              </c:extLst>
              <c:f>'[附件5 2020年度中等职业学校编制质量报告相关数据表.xlsx]1、学校基本情况'!$B$2:$K$3</c:f>
              <c:multiLvlStrCache>
                <c:ptCount val="7"/>
                <c:lvl>
                  <c:pt idx="0">
                    <c:v>人数</c:v>
                  </c:pt>
                  <c:pt idx="1">
                    <c:v>本地区高中阶段招生总数</c:v>
                  </c:pt>
                  <c:pt idx="2">
                    <c:v>人数</c:v>
                  </c:pt>
                  <c:pt idx="3">
                    <c:v>本地区高中阶段在校生总数</c:v>
                  </c:pt>
                  <c:pt idx="4">
                    <c:v>总人数</c:v>
                  </c:pt>
                  <c:pt idx="5">
                    <c:v>流失学生总数</c:v>
                  </c:pt>
                  <c:pt idx="6">
                    <c:v>巩固率（%）</c:v>
                  </c:pt>
                </c:lvl>
                <c:lvl>
                  <c:pt idx="0">
                    <c:v>招生数</c:v>
                  </c:pt>
                  <c:pt idx="2">
                    <c:v>在校生</c:v>
                  </c:pt>
                  <c:pt idx="4">
                    <c:v>毕业生</c:v>
                  </c:pt>
                  <c:pt idx="5">
                    <c:v>巩固率</c:v>
                  </c:pt>
                </c:lvl>
              </c:multiLvlStrCache>
            </c:multiLvlStrRef>
          </c:cat>
          <c:val>
            <c:numRef>
              <c:extLst>
                <c:ext xmlns:c15="http://schemas.microsoft.com/office/drawing/2012/chart" uri="{02D57815-91ED-43cb-92C2-25804820EDAC}">
                  <c15:fullRef>
                    <c15:sqref>'1、学校基本情况'!$B$4:$K$4</c15:sqref>
                  </c15:fullRef>
                </c:ext>
              </c:extLst>
              <c:f>('[附件5 2020年度中等职业学校编制质量报告相关数据表.xlsx]1、学校基本情况'!$B$4:$C$4,'[附件5 2020年度中等职业学校编制质量报告相关数据表.xlsx]1、学校基本情况'!$E$4:$F$4,'[附件5 2020年度中等职业学校编制质量报告相关数据表.xlsx]1、学校基本情况'!$H$4,'[附件5 2020年度中等职业学校编制质量报告相关数据表.xlsx]1、学校基本情况'!$J$4:$K$4)</c:f>
              <c:numCache>
                <c:formatCode>General</c:formatCode>
                <c:ptCount val="7"/>
                <c:pt idx="0">
                  <c:v>77</c:v>
                </c:pt>
                <c:pt idx="1">
                  <c:v>3</c:v>
                </c:pt>
                <c:pt idx="2">
                  <c:v>171</c:v>
                </c:pt>
                <c:pt idx="3">
                  <c:v>6</c:v>
                </c:pt>
                <c:pt idx="4">
                  <c:v>51</c:v>
                </c:pt>
                <c:pt idx="5">
                  <c:v>3</c:v>
                </c:pt>
                <c:pt idx="6">
                  <c:v>94.4</c:v>
                </c:pt>
              </c:numCache>
            </c:numRef>
          </c:val>
        </c:ser>
        <c:ser>
          <c:idx val="1"/>
          <c:order val="1"/>
          <c:tx>
            <c:strRef>
              <c:f>'[附件5 2020年度中等职业学校编制质量报告相关数据表.xlsx]1、学校基本情况'!$A$5</c:f>
              <c:strCache>
                <c:ptCount val="1"/>
                <c:pt idx="0">
                  <c:v>2019-2020</c:v>
                </c:pt>
              </c:strCache>
            </c:strRef>
          </c:tx>
          <c:spPr>
            <a:blipFill rotWithShape="1">
              <a:blip xmlns:r="http://schemas.openxmlformats.org/officeDocument/2006/relationships" r:embed="rId4"/>
              <a:stretch>
                <a:fillRect/>
              </a:stretch>
            </a:blipFill>
            <a:ln>
              <a:noFill/>
            </a:ln>
            <a:effectLst>
              <a:outerShdw blurRad="76200" dir="18900000" sy="23000" kx="-1200000" algn="bl" rotWithShape="0">
                <a:prstClr val="black">
                  <a:alpha val="20000"/>
                </a:prstClr>
              </a:outerShdw>
            </a:effectLst>
          </c:spPr>
          <c:invertIfNegative val="0"/>
          <c:dLbls>
            <c:delete val="1"/>
          </c:dLbls>
          <c:cat>
            <c:multiLvlStrRef>
              <c:extLst>
                <c:ext xmlns:c15="http://schemas.microsoft.com/office/drawing/2012/chart" uri="{02D57815-91ED-43cb-92C2-25804820EDAC}">
                  <c15:fullRef>
                    <c15:sqref>'[附件5 2020年度中等职业学校编制质量报告相关数据表.xlsx]1、学校基本情况'!$B$2:$K$3</c15:sqref>
                  </c15:fullRef>
                </c:ext>
              </c:extLst>
              <c:f>'[附件5 2020年度中等职业学校编制质量报告相关数据表.xlsx]1、学校基本情况'!$B$2:$K$3</c:f>
              <c:multiLvlStrCache>
                <c:ptCount val="7"/>
                <c:lvl>
                  <c:pt idx="0">
                    <c:v>人数</c:v>
                  </c:pt>
                  <c:pt idx="1">
                    <c:v>本地区高中阶段招生总数</c:v>
                  </c:pt>
                  <c:pt idx="2">
                    <c:v>人数</c:v>
                  </c:pt>
                  <c:pt idx="3">
                    <c:v>本地区高中阶段在校生总数</c:v>
                  </c:pt>
                  <c:pt idx="4">
                    <c:v>总人数</c:v>
                  </c:pt>
                  <c:pt idx="5">
                    <c:v>流失学生总数</c:v>
                  </c:pt>
                  <c:pt idx="6">
                    <c:v>巩固率（%）</c:v>
                  </c:pt>
                </c:lvl>
                <c:lvl>
                  <c:pt idx="0">
                    <c:v>招生数</c:v>
                  </c:pt>
                  <c:pt idx="2">
                    <c:v>在校生</c:v>
                  </c:pt>
                  <c:pt idx="4">
                    <c:v>毕业生</c:v>
                  </c:pt>
                  <c:pt idx="5">
                    <c:v>巩固率</c:v>
                  </c:pt>
                </c:lvl>
              </c:multiLvlStrCache>
            </c:multiLvlStrRef>
          </c:cat>
          <c:val>
            <c:numRef>
              <c:extLst>
                <c:ext xmlns:c15="http://schemas.microsoft.com/office/drawing/2012/chart" uri="{02D57815-91ED-43cb-92C2-25804820EDAC}">
                  <c15:fullRef>
                    <c15:sqref>'1、学校基本情况'!$B$5:$K$5</c15:sqref>
                  </c15:fullRef>
                </c:ext>
              </c:extLst>
              <c:f>('[附件5 2020年度中等职业学校编制质量报告相关数据表.xlsx]1、学校基本情况'!$B$5:$C$5,'[附件5 2020年度中等职业学校编制质量报告相关数据表.xlsx]1、学校基本情况'!$E$5:$F$5,'[附件5 2020年度中等职业学校编制质量报告相关数据表.xlsx]1、学校基本情况'!$H$5,'[附件5 2020年度中等职业学校编制质量报告相关数据表.xlsx]1、学校基本情况'!$J$5:$K$5)</c:f>
              <c:numCache>
                <c:formatCode>General</c:formatCode>
                <c:ptCount val="7"/>
                <c:pt idx="0">
                  <c:v>156</c:v>
                </c:pt>
                <c:pt idx="1">
                  <c:v>5</c:v>
                </c:pt>
                <c:pt idx="2">
                  <c:v>250</c:v>
                </c:pt>
                <c:pt idx="3">
                  <c:v>10</c:v>
                </c:pt>
                <c:pt idx="4">
                  <c:v>35</c:v>
                </c:pt>
                <c:pt idx="5">
                  <c:v>5</c:v>
                </c:pt>
                <c:pt idx="6">
                  <c:v>87.5</c:v>
                </c:pt>
              </c:numCache>
            </c:numRef>
          </c:val>
        </c:ser>
        <c:dLbls>
          <c:showLegendKey val="0"/>
          <c:showVal val="0"/>
          <c:showCatName val="0"/>
          <c:showSerName val="0"/>
          <c:showPercent val="0"/>
          <c:showBubbleSize val="0"/>
        </c:dLbls>
        <c:gapWidth val="150"/>
        <c:overlap val="0"/>
        <c:axId val="495986679"/>
        <c:axId val="451794618"/>
      </c:barChart>
      <c:catAx>
        <c:axId val="495986679"/>
        <c:scaling>
          <c:orientation val="minMax"/>
        </c:scaling>
        <c:delete val="0"/>
        <c:axPos val="b"/>
        <c:numFmt formatCode="General"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451794618"/>
        <c:crosses val="autoZero"/>
        <c:auto val="1"/>
        <c:lblAlgn val="ctr"/>
        <c:lblOffset val="100"/>
        <c:noMultiLvlLbl val="0"/>
      </c:catAx>
      <c:valAx>
        <c:axId val="45179461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49598667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Table>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a:outerShdw blurRad="63500" dist="37357" dir="2700000" sx="0" sy="0" rotWithShape="0">
        <a:scrgbClr r="0" g="0" b="0"/>
      </a:outerShdw>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教师队伍总体情况</a:t>
            </a:r>
          </a:p>
        </c:rich>
      </c:tx>
      <c:layout>
        <c:manualLayout>
          <c:xMode val="edge"/>
          <c:yMode val="edge"/>
          <c:x val="0.378577159668361"/>
          <c:y val="0.0258843830888697"/>
        </c:manualLayout>
      </c:layout>
      <c:overlay val="0"/>
      <c:spPr>
        <a:noFill/>
        <a:ln>
          <a:noFill/>
        </a:ln>
        <a:effectLst/>
      </c:spPr>
    </c:title>
    <c:autoTitleDeleted val="0"/>
    <c:plotArea>
      <c:layout>
        <c:manualLayout>
          <c:layoutTarget val="inner"/>
          <c:xMode val="edge"/>
          <c:yMode val="edge"/>
          <c:x val="0.0277370316042139"/>
          <c:y val="0.329341317365269"/>
          <c:w val="0.941325510068009"/>
          <c:h val="0.397656860192658"/>
        </c:manualLayout>
      </c:layout>
      <c:barChart>
        <c:barDir val="col"/>
        <c:grouping val="clustered"/>
        <c:varyColors val="0"/>
        <c:ser>
          <c:idx val="0"/>
          <c:order val="0"/>
          <c:tx>
            <c:strRef>
              <c:f>'[附件5 2020年度中等职业学校编制质量报告相关数据表.xlsx]1、学校基本情况'!$A$4</c:f>
              <c:strCache>
                <c:ptCount val="1"/>
                <c:pt idx="0">
                  <c:v>2018-2019</c:v>
                </c:pt>
              </c:strCache>
            </c:strRef>
          </c:tx>
          <c:spPr>
            <a:blipFill rotWithShape="1">
              <a:blip xmlns:r="http://schemas.openxmlformats.org/officeDocument/2006/relationships" r:embed="rId3"/>
              <a:stretch>
                <a:fillRect/>
              </a:stretch>
            </a:blipFill>
            <a:ln>
              <a:noFill/>
            </a:ln>
            <a:effectLst>
              <a:outerShdw blurRad="76200" dir="18900000" sy="23000" kx="-1200000" algn="bl" rotWithShape="0">
                <a:prstClr val="black">
                  <a:alpha val="20000"/>
                </a:prstClr>
              </a:outerShdw>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spPr>
                    <a:ln w="9525" cap="flat" cmpd="sng" algn="ctr">
                      <a:solidFill>
                        <a:schemeClr val="tx1">
                          <a:lumMod val="35000"/>
                          <a:lumOff val="65000"/>
                        </a:schemeClr>
                      </a:solidFill>
                      <a:round/>
                    </a:ln>
                    <a:effectLst/>
                  </c:spPr>
                </c15:leaderLines>
              </c:ext>
            </c:extLst>
          </c:dLbls>
          <c:cat>
            <c:multiLvlStrRef>
              <c:f>'[附件5 2020年度中等职业学校编制质量报告相关数据表.xlsx]1、学校基本情况'!$B$2:$H$3</c:f>
              <c:multiLvlStrCache>
                <c:ptCount val="7"/>
                <c:lvl>
                  <c:pt idx="3">
                    <c:v>人数</c:v>
                  </c:pt>
                  <c:pt idx="4">
                    <c:v>硕士以上学历人数</c:v>
                  </c:pt>
                  <c:pt idx="5">
                    <c:v>本科以上学历人数</c:v>
                  </c:pt>
                  <c:pt idx="6">
                    <c:v>人数</c:v>
                  </c:pt>
                </c:lvl>
                <c:lvl>
                  <c:pt idx="0">
                    <c:v>教职工数</c:v>
                  </c:pt>
                  <c:pt idx="1">
                    <c:v>专任教师数</c:v>
                  </c:pt>
                  <c:pt idx="2">
                    <c:v>专业教师</c:v>
                  </c:pt>
                  <c:pt idx="3">
                    <c:v>双师型教师</c:v>
                  </c:pt>
                  <c:pt idx="4">
                    <c:v>专任教师学历</c:v>
                  </c:pt>
                  <c:pt idx="6">
                    <c:v>高级职称教师</c:v>
                  </c:pt>
                </c:lvl>
              </c:multiLvlStrCache>
            </c:multiLvlStrRef>
          </c:cat>
          <c:val>
            <c:numRef>
              <c:f>'[附件5 2020年度中等职业学校编制质量报告相关数据表.xlsx]1、学校基本情况'!$B$4:$H$4</c:f>
              <c:numCache>
                <c:formatCode>General</c:formatCode>
                <c:ptCount val="7"/>
                <c:pt idx="0">
                  <c:v>85</c:v>
                </c:pt>
                <c:pt idx="1">
                  <c:v>56</c:v>
                </c:pt>
                <c:pt idx="2">
                  <c:v>38</c:v>
                </c:pt>
                <c:pt idx="3">
                  <c:v>27</c:v>
                </c:pt>
                <c:pt idx="4">
                  <c:v>12</c:v>
                </c:pt>
                <c:pt idx="5">
                  <c:v>44</c:v>
                </c:pt>
                <c:pt idx="6">
                  <c:v>23</c:v>
                </c:pt>
              </c:numCache>
            </c:numRef>
          </c:val>
        </c:ser>
        <c:ser>
          <c:idx val="1"/>
          <c:order val="1"/>
          <c:tx>
            <c:strRef>
              <c:f>'[附件5 2020年度中等职业学校编制质量报告相关数据表.xlsx]1、学校基本情况'!$A$5</c:f>
              <c:strCache>
                <c:ptCount val="1"/>
                <c:pt idx="0">
                  <c:v>2019-2020</c:v>
                </c:pt>
              </c:strCache>
            </c:strRef>
          </c:tx>
          <c:spPr>
            <a:blipFill rotWithShape="1">
              <a:blip xmlns:r="http://schemas.openxmlformats.org/officeDocument/2006/relationships" r:embed="rId4"/>
              <a:stretch>
                <a:fillRect/>
              </a:stretch>
            </a:blipFill>
            <a:ln>
              <a:noFill/>
            </a:ln>
            <a:effectLst>
              <a:outerShdw blurRad="76200" dir="18900000" sy="23000" kx="-1200000" algn="bl" rotWithShape="0">
                <a:prstClr val="black">
                  <a:alpha val="20000"/>
                </a:prstClr>
              </a:outerShdw>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spPr>
                    <a:ln w="9525" cap="flat" cmpd="sng" algn="ctr">
                      <a:solidFill>
                        <a:schemeClr val="tx1">
                          <a:lumMod val="35000"/>
                          <a:lumOff val="65000"/>
                        </a:schemeClr>
                      </a:solidFill>
                      <a:round/>
                    </a:ln>
                    <a:effectLst/>
                  </c:spPr>
                </c15:leaderLines>
              </c:ext>
            </c:extLst>
          </c:dLbls>
          <c:cat>
            <c:multiLvlStrRef>
              <c:f>'[附件5 2020年度中等职业学校编制质量报告相关数据表.xlsx]1、学校基本情况'!$B$2:$H$3</c:f>
              <c:multiLvlStrCache>
                <c:ptCount val="7"/>
                <c:lvl>
                  <c:pt idx="3">
                    <c:v>人数</c:v>
                  </c:pt>
                  <c:pt idx="4">
                    <c:v>硕士以上学历人数</c:v>
                  </c:pt>
                  <c:pt idx="5">
                    <c:v>本科以上学历人数</c:v>
                  </c:pt>
                  <c:pt idx="6">
                    <c:v>人数</c:v>
                  </c:pt>
                </c:lvl>
                <c:lvl>
                  <c:pt idx="0">
                    <c:v>教职工数</c:v>
                  </c:pt>
                  <c:pt idx="1">
                    <c:v>专任教师数</c:v>
                  </c:pt>
                  <c:pt idx="2">
                    <c:v>专业教师</c:v>
                  </c:pt>
                  <c:pt idx="3">
                    <c:v>双师型教师</c:v>
                  </c:pt>
                  <c:pt idx="4">
                    <c:v>专任教师学历</c:v>
                  </c:pt>
                  <c:pt idx="6">
                    <c:v>高级职称教师</c:v>
                  </c:pt>
                </c:lvl>
              </c:multiLvlStrCache>
            </c:multiLvlStrRef>
          </c:cat>
          <c:val>
            <c:numRef>
              <c:f>'[附件5 2020年度中等职业学校编制质量报告相关数据表.xlsx]1、学校基本情况'!$B$5:$H$5</c:f>
              <c:numCache>
                <c:formatCode>General</c:formatCode>
                <c:ptCount val="7"/>
                <c:pt idx="0">
                  <c:v>84</c:v>
                </c:pt>
                <c:pt idx="1">
                  <c:v>46</c:v>
                </c:pt>
                <c:pt idx="2">
                  <c:v>28</c:v>
                </c:pt>
                <c:pt idx="3">
                  <c:v>26</c:v>
                </c:pt>
                <c:pt idx="4">
                  <c:v>9</c:v>
                </c:pt>
                <c:pt idx="5">
                  <c:v>37</c:v>
                </c:pt>
                <c:pt idx="6">
                  <c:v>29</c:v>
                </c:pt>
              </c:numCache>
            </c:numRef>
          </c:val>
        </c:ser>
        <c:dLbls>
          <c:showLegendKey val="0"/>
          <c:showVal val="0"/>
          <c:showCatName val="0"/>
          <c:showSerName val="0"/>
          <c:showPercent val="0"/>
          <c:showBubbleSize val="0"/>
        </c:dLbls>
        <c:gapWidth val="150"/>
        <c:overlap val="-25"/>
        <c:axId val="853870569"/>
        <c:axId val="990856047"/>
      </c:barChart>
      <c:catAx>
        <c:axId val="853870569"/>
        <c:scaling>
          <c:orientation val="minMax"/>
        </c:scaling>
        <c:delete val="0"/>
        <c:axPos val="b"/>
        <c:numFmt formatCode="General" sourceLinked="0"/>
        <c:majorTickMark val="none"/>
        <c:minorTickMark val="none"/>
        <c:tickLblPos val="nextTo"/>
        <c:spPr>
          <a:noFill/>
          <a:ln w="12700" cap="flat" cmpd="sng" algn="ctr">
            <a:noFill/>
            <a:round/>
            <a:tailEnd type="none"/>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990856047"/>
        <c:crosses val="autoZero"/>
        <c:auto val="1"/>
        <c:lblAlgn val="ctr"/>
        <c:lblOffset val="100"/>
        <c:noMultiLvlLbl val="0"/>
      </c:catAx>
      <c:valAx>
        <c:axId val="990856047"/>
        <c:scaling>
          <c:orientation val="minMax"/>
        </c:scaling>
        <c:delete val="1"/>
        <c:axPos val="l"/>
        <c:numFmt formatCode="General" sourceLinked="1"/>
        <c:majorTickMark val="none"/>
        <c:minorTickMark val="none"/>
        <c:tickLblPos val="nextTo"/>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853870569"/>
        <c:crosses val="autoZero"/>
        <c:crossBetween val="between"/>
      </c:valAx>
      <c:spPr>
        <a:noFill/>
        <a:ln>
          <a:noFill/>
        </a:ln>
        <a:effectLst/>
      </c:spPr>
    </c:plotArea>
    <c:legend>
      <c:legendPos val="t"/>
      <c:legendEntry>
        <c:idx val="0"/>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egendEntry>
        <c:idx val="1"/>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chemeClr val="bg1"/>
    </a:solidFill>
    <a:ln w="9525" cap="flat" cmpd="sng" algn="ctr">
      <a:solidFill>
        <a:sysClr val="windowText" lastClr="000000"/>
      </a:solidFill>
      <a:round/>
    </a:ln>
    <a:effectLst>
      <a:outerShdw blurRad="63500" dist="37357" dir="2700000" sx="0" sy="0" rotWithShape="0">
        <a:scrgbClr r="0" g="0" b="0"/>
      </a:outerShdw>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教学仪器设备总值和实训实习工位数</a:t>
            </a:r>
          </a:p>
        </c:rich>
      </c:tx>
      <c:layout>
        <c:manualLayout>
          <c:xMode val="edge"/>
          <c:yMode val="edge"/>
          <c:x val="0.19137590520079"/>
          <c:y val="0.0264794383149448"/>
        </c:manualLayout>
      </c:layout>
      <c:overlay val="0"/>
      <c:spPr>
        <a:noFill/>
        <a:ln>
          <a:noFill/>
        </a:ln>
        <a:effectLst/>
      </c:spPr>
    </c:title>
    <c:autoTitleDeleted val="0"/>
    <c:plotArea>
      <c:layout/>
      <c:barChart>
        <c:barDir val="col"/>
        <c:grouping val="clustered"/>
        <c:varyColors val="0"/>
        <c:ser>
          <c:idx val="0"/>
          <c:order val="0"/>
          <c:tx>
            <c:strRef>
              <c:f>'[附件5 2020年度中等职业学校编制质量报告相关数据表.xlsx]1、学校基本情况'!$A$4</c:f>
              <c:strCache>
                <c:ptCount val="1"/>
                <c:pt idx="0">
                  <c:v>2018-2019</c:v>
                </c:pt>
              </c:strCache>
            </c:strRef>
          </c:tx>
          <c:spPr>
            <a:blipFill rotWithShape="1">
              <a:blip xmlns:r="http://schemas.openxmlformats.org/officeDocument/2006/relationships" r:embed="rId3"/>
              <a:stretch>
                <a:fillRect/>
              </a:stretch>
            </a:blip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'[附件5 2020年度中等职业学校编制质量报告相关数据表.xlsx]1、学校基本情况'!$B$2:$E$3</c:f>
              <c:multiLvlStrCache>
                <c:ptCount val="4"/>
                <c:lvl>
                  <c:pt idx="0">
                    <c:v>总数</c:v>
                  </c:pt>
                  <c:pt idx="1">
                    <c:v>生均</c:v>
                  </c:pt>
                  <c:pt idx="2">
                    <c:v>总数</c:v>
                  </c:pt>
                  <c:pt idx="3">
                    <c:v>生均</c:v>
                  </c:pt>
                </c:lvl>
                <c:lvl>
                  <c:pt idx="0">
                    <c:v>教学、实习仪器设备资产总值（万元）</c:v>
                  </c:pt>
                  <c:pt idx="2">
                    <c:v>校内实训实习工位数（个）</c:v>
                  </c:pt>
                </c:lvl>
              </c:multiLvlStrCache>
            </c:multiLvlStrRef>
          </c:cat>
          <c:val>
            <c:numRef>
              <c:f>'[附件5 2020年度中等职业学校编制质量报告相关数据表.xlsx]1、学校基本情况'!$B$4:$E$4</c:f>
              <c:numCache>
                <c:formatCode>General</c:formatCode>
                <c:ptCount val="4"/>
                <c:pt idx="0">
                  <c:v>1256.71</c:v>
                </c:pt>
                <c:pt idx="1">
                  <c:v>7.35</c:v>
                </c:pt>
                <c:pt idx="2">
                  <c:v>384</c:v>
                </c:pt>
                <c:pt idx="3">
                  <c:v>2.25</c:v>
                </c:pt>
              </c:numCache>
            </c:numRef>
          </c:val>
        </c:ser>
        <c:ser>
          <c:idx val="1"/>
          <c:order val="1"/>
          <c:tx>
            <c:strRef>
              <c:f>'[附件5 2020年度中等职业学校编制质量报告相关数据表.xlsx]1、学校基本情况'!$A$5</c:f>
              <c:strCache>
                <c:ptCount val="1"/>
                <c:pt idx="0">
                  <c:v>2019-2020</c:v>
                </c:pt>
              </c:strCache>
            </c:strRef>
          </c:tx>
          <c:spPr>
            <a:blipFill rotWithShape="1">
              <a:blip xmlns:r="http://schemas.openxmlformats.org/officeDocument/2006/relationships" r:embed="rId4"/>
              <a:stretch>
                <a:fillRect/>
              </a:stretch>
            </a:blip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'[附件5 2020年度中等职业学校编制质量报告相关数据表.xlsx]1、学校基本情况'!$B$2:$E$3</c:f>
              <c:multiLvlStrCache>
                <c:ptCount val="4"/>
                <c:lvl>
                  <c:pt idx="0">
                    <c:v>总数</c:v>
                  </c:pt>
                  <c:pt idx="1">
                    <c:v>生均</c:v>
                  </c:pt>
                  <c:pt idx="2">
                    <c:v>总数</c:v>
                  </c:pt>
                  <c:pt idx="3">
                    <c:v>生均</c:v>
                  </c:pt>
                </c:lvl>
                <c:lvl>
                  <c:pt idx="0">
                    <c:v>教学、实习仪器设备资产总值（万元）</c:v>
                  </c:pt>
                  <c:pt idx="2">
                    <c:v>校内实训实习工位数（个）</c:v>
                  </c:pt>
                </c:lvl>
              </c:multiLvlStrCache>
            </c:multiLvlStrRef>
          </c:cat>
          <c:val>
            <c:numRef>
              <c:f>'[附件5 2020年度中等职业学校编制质量报告相关数据表.xlsx]1、学校基本情况'!$B$5:$E$5</c:f>
              <c:numCache>
                <c:formatCode>General</c:formatCode>
                <c:ptCount val="4"/>
                <c:pt idx="0">
                  <c:v>1378.59</c:v>
                </c:pt>
                <c:pt idx="1">
                  <c:v>5.51</c:v>
                </c:pt>
                <c:pt idx="2">
                  <c:v>384</c:v>
                </c:pt>
                <c:pt idx="3">
                  <c:v>1.54</c:v>
                </c:pt>
              </c:numCache>
            </c:numRef>
          </c:val>
        </c:ser>
        <c:dLbls>
          <c:showLegendKey val="0"/>
          <c:showVal val="1"/>
          <c:showCatName val="0"/>
          <c:showSerName val="0"/>
          <c:showPercent val="0"/>
          <c:showBubbleSize val="0"/>
        </c:dLbls>
        <c:gapWidth val="75"/>
        <c:overlap val="-25"/>
        <c:axId val="523687006"/>
        <c:axId val="598261402"/>
      </c:barChart>
      <c:catAx>
        <c:axId val="523687006"/>
        <c:scaling>
          <c:orientation val="minMax"/>
        </c:scaling>
        <c:delete val="0"/>
        <c:axPos val="b"/>
        <c:numFmt formatCode="General" sourceLinked="0"/>
        <c:majorTickMark val="out"/>
        <c:minorTickMark val="none"/>
        <c:tickLblPos val="nextTo"/>
        <c:spPr>
          <a:noFill/>
          <a:ln w="9525" cap="flat" cmpd="sng" algn="ctr">
            <a:solidFill>
              <a:sysClr val="windowText" lastClr="000000"/>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598261402"/>
        <c:crosses val="autoZero"/>
        <c:auto val="1"/>
        <c:lblAlgn val="ctr"/>
        <c:lblOffset val="100"/>
        <c:noMultiLvlLbl val="0"/>
      </c:catAx>
      <c:valAx>
        <c:axId val="598261402"/>
        <c:scaling>
          <c:orientation val="minMax"/>
        </c:scaling>
        <c:delete val="0"/>
        <c:axPos val="l"/>
        <c:numFmt formatCode="General" sourceLinked="1"/>
        <c:majorTickMark val="out"/>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523687006"/>
        <c:crosses val="autoZero"/>
        <c:crossBetween val="between"/>
      </c:valAx>
      <c:spPr>
        <a:noFill/>
        <a:ln>
          <a:noFill/>
        </a:ln>
        <a:effectLst/>
      </c:spPr>
    </c:plotArea>
    <c:legend>
      <c:legendPos val="r"/>
      <c:legendEntry>
        <c:idx val="0"/>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egendEntry>
        <c:idx val="1"/>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chemeClr val="bg1"/>
    </a:solidFill>
    <a:ln w="9525" cap="flat" cmpd="sng" algn="ctr">
      <a:solidFill>
        <a:sysClr val="windowText" lastClr="000000"/>
      </a:solidFill>
      <a:round/>
    </a:ln>
    <a:effectLst>
      <a:outerShdw blurRad="63500" dist="37357" dir="2700000" sx="0" sy="0" rotWithShape="0">
        <a:scrgbClr r="0" g="0" b="0"/>
      </a:outerShdw>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学生素质发展</a:t>
            </a:r>
          </a:p>
        </c:rich>
      </c:tx>
      <c:layout/>
      <c:overlay val="0"/>
      <c:spPr>
        <a:noFill/>
        <a:ln>
          <a:noFill/>
        </a:ln>
        <a:effectLst/>
      </c:spPr>
    </c:title>
    <c:autoTitleDeleted val="0"/>
    <c:plotArea>
      <c:layout/>
      <c:barChart>
        <c:barDir val="col"/>
        <c:grouping val="clustered"/>
        <c:varyColors val="0"/>
        <c:ser>
          <c:idx val="0"/>
          <c:order val="0"/>
          <c:tx>
            <c:strRef>
              <c:f>'[黑工程 附件5：2019年度黑龙江省中等职业教育质量报告核心数据采集表.xls]Sheet1'!$A$46</c:f>
              <c:strCache>
                <c:ptCount val="1"/>
                <c:pt idx="0">
                  <c:v>2018-2019</c:v>
                </c:pt>
              </c:strCache>
            </c:strRef>
          </c:tx>
          <c:spPr>
            <a:blipFill rotWithShape="1">
              <a:blip xmlns:r="http://schemas.openxmlformats.org/officeDocument/2006/relationships" r:embed="rId3"/>
              <a:stretch>
                <a:fillRect/>
              </a:stretch>
            </a:blipFill>
            <a:ln>
              <a:noFill/>
            </a:ln>
            <a:effectLst>
              <a:outerShdw blurRad="76200" dir="18900000" sy="23000" kx="-1200000" algn="bl" rotWithShape="0">
                <a:prstClr val="black">
                  <a:alpha val="20000"/>
                </a:prstClr>
              </a:outerShdw>
            </a:effectLst>
          </c:spPr>
          <c:invertIfNegative val="0"/>
          <c:dLbls>
            <c:delete val="1"/>
          </c:dLbls>
          <c:cat>
            <c:multiLvlStrRef>
              <c:f>'[黑工程 附件5：2019年度黑龙江省中等职业教育质量报告核心数据采集表.xls]Sheet1'!$B$44:$I$45</c:f>
              <c:multiLvlStrCache>
                <c:ptCount val="8"/>
                <c:lvl>
                  <c:pt idx="0">
                    <c:v>人数</c:v>
                  </c:pt>
                  <c:pt idx="1">
                    <c:v>合格率（%）</c:v>
                  </c:pt>
                  <c:pt idx="2">
                    <c:v>人数</c:v>
                  </c:pt>
                  <c:pt idx="3">
                    <c:v>合格率（%）</c:v>
                  </c:pt>
                  <c:pt idx="4">
                    <c:v>人数</c:v>
                  </c:pt>
                  <c:pt idx="5">
                    <c:v>合格率（%）</c:v>
                  </c:pt>
                  <c:pt idx="6">
                    <c:v>毕业生数</c:v>
                  </c:pt>
                  <c:pt idx="7">
                    <c:v>毕业率（%）</c:v>
                  </c:pt>
                </c:lvl>
                <c:lvl>
                  <c:pt idx="0">
                    <c:v>文化课测试</c:v>
                  </c:pt>
                  <c:pt idx="2">
                    <c:v>专业技能测试</c:v>
                  </c:pt>
                  <c:pt idx="4">
                    <c:v>体质测评</c:v>
                  </c:pt>
                  <c:pt idx="6">
                    <c:v>毕业率（%）</c:v>
                  </c:pt>
                </c:lvl>
              </c:multiLvlStrCache>
            </c:multiLvlStrRef>
          </c:cat>
          <c:val>
            <c:numRef>
              <c:f>'[黑工程 附件5：2019年度黑龙江省中等职业教育质量报告核心数据采集表.xls]Sheet1'!$B$46:$I$46</c:f>
              <c:numCache>
                <c:formatCode>General</c:formatCode>
                <c:ptCount val="8"/>
                <c:pt idx="0">
                  <c:v>145</c:v>
                </c:pt>
                <c:pt idx="1">
                  <c:v>97.6</c:v>
                </c:pt>
                <c:pt idx="2">
                  <c:v>135</c:v>
                </c:pt>
                <c:pt idx="3">
                  <c:v>98.9</c:v>
                </c:pt>
                <c:pt idx="4">
                  <c:v>171</c:v>
                </c:pt>
                <c:pt idx="5">
                  <c:v>97.2</c:v>
                </c:pt>
                <c:pt idx="6">
                  <c:v>51</c:v>
                </c:pt>
                <c:pt idx="7">
                  <c:v>100</c:v>
                </c:pt>
              </c:numCache>
            </c:numRef>
          </c:val>
        </c:ser>
        <c:ser>
          <c:idx val="1"/>
          <c:order val="1"/>
          <c:tx>
            <c:strRef>
              <c:f>'[黑工程 附件5：2019年度黑龙江省中等职业教育质量报告核心数据采集表.xls]Sheet1'!$A$47</c:f>
              <c:strCache>
                <c:ptCount val="1"/>
                <c:pt idx="0">
                  <c:v>2019-2020</c:v>
                </c:pt>
              </c:strCache>
            </c:strRef>
          </c:tx>
          <c:spPr>
            <a:blipFill rotWithShape="1">
              <a:blip xmlns:r="http://schemas.openxmlformats.org/officeDocument/2006/relationships" r:embed="rId4"/>
              <a:stretch>
                <a:fillRect/>
              </a:stretch>
            </a:blipFill>
            <a:ln>
              <a:noFill/>
            </a:ln>
            <a:effectLst>
              <a:outerShdw blurRad="76200" dir="18900000" sy="23000" kx="-1200000" algn="bl" rotWithShape="0">
                <a:prstClr val="black">
                  <a:alpha val="20000"/>
                </a:prstClr>
              </a:outerShdw>
            </a:effectLst>
          </c:spPr>
          <c:invertIfNegative val="0"/>
          <c:dLbls>
            <c:delete val="1"/>
          </c:dLbls>
          <c:cat>
            <c:multiLvlStrRef>
              <c:f>'[黑工程 附件5：2019年度黑龙江省中等职业教育质量报告核心数据采集表.xls]Sheet1'!$B$44:$I$45</c:f>
              <c:multiLvlStrCache>
                <c:ptCount val="8"/>
                <c:lvl>
                  <c:pt idx="0">
                    <c:v>人数</c:v>
                  </c:pt>
                  <c:pt idx="1">
                    <c:v>合格率（%）</c:v>
                  </c:pt>
                  <c:pt idx="2">
                    <c:v>人数</c:v>
                  </c:pt>
                  <c:pt idx="3">
                    <c:v>合格率（%）</c:v>
                  </c:pt>
                  <c:pt idx="4">
                    <c:v>人数</c:v>
                  </c:pt>
                  <c:pt idx="5">
                    <c:v>合格率（%）</c:v>
                  </c:pt>
                  <c:pt idx="6">
                    <c:v>毕业生数</c:v>
                  </c:pt>
                  <c:pt idx="7">
                    <c:v>毕业率（%）</c:v>
                  </c:pt>
                </c:lvl>
                <c:lvl>
                  <c:pt idx="0">
                    <c:v>文化课测试</c:v>
                  </c:pt>
                  <c:pt idx="2">
                    <c:v>专业技能测试</c:v>
                  </c:pt>
                  <c:pt idx="4">
                    <c:v>体质测评</c:v>
                  </c:pt>
                  <c:pt idx="6">
                    <c:v>毕业率（%）</c:v>
                  </c:pt>
                </c:lvl>
              </c:multiLvlStrCache>
            </c:multiLvlStrRef>
          </c:cat>
          <c:val>
            <c:numRef>
              <c:f>'[黑工程 附件5：2019年度黑龙江省中等职业教育质量报告核心数据采集表.xls]Sheet1'!$B$47:$I$47</c:f>
              <c:numCache>
                <c:formatCode>General</c:formatCode>
                <c:ptCount val="8"/>
                <c:pt idx="0">
                  <c:v>210</c:v>
                </c:pt>
                <c:pt idx="1">
                  <c:v>97.7</c:v>
                </c:pt>
                <c:pt idx="2">
                  <c:v>210</c:v>
                </c:pt>
                <c:pt idx="3">
                  <c:v>98.5</c:v>
                </c:pt>
                <c:pt idx="4">
                  <c:v>215</c:v>
                </c:pt>
                <c:pt idx="5">
                  <c:v>97</c:v>
                </c:pt>
                <c:pt idx="6">
                  <c:v>35</c:v>
                </c:pt>
                <c:pt idx="7">
                  <c:v>100</c:v>
                </c:pt>
              </c:numCache>
            </c:numRef>
          </c:val>
        </c:ser>
        <c:dLbls>
          <c:showLegendKey val="0"/>
          <c:showVal val="0"/>
          <c:showCatName val="0"/>
          <c:showSerName val="0"/>
          <c:showPercent val="0"/>
          <c:showBubbleSize val="0"/>
        </c:dLbls>
        <c:gapWidth val="150"/>
        <c:overlap val="0"/>
        <c:axId val="185604053"/>
        <c:axId val="528484420"/>
      </c:barChart>
      <c:catAx>
        <c:axId val="185604053"/>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528484420"/>
        <c:crosses val="autoZero"/>
        <c:auto val="1"/>
        <c:lblAlgn val="ctr"/>
        <c:lblOffset val="100"/>
        <c:noMultiLvlLbl val="0"/>
      </c:catAx>
      <c:valAx>
        <c:axId val="5284844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185604053"/>
        <c:crosses val="autoZero"/>
        <c:crossBetween val="between"/>
      </c:valAx>
      <c:dTable>
        <c:showHorzBorder val="1"/>
        <c:showVertBorder val="1"/>
        <c:showOutline val="1"/>
        <c:showKeys val="1"/>
        <c:spPr>
          <a:noFill/>
          <a:ln w="9525" cap="flat" cmpd="sng" algn="ctr">
            <a:solidFill>
              <a:sysClr val="windowText" lastClr="000000"/>
            </a:solidFill>
            <a:round/>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Table>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a:outerShdw blurRad="63500" dist="37357" dir="2700000" sx="0" sy="0" rotWithShape="0">
        <a:scrgbClr r="0" g="0" b="0"/>
      </a:outerShdw>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毕业生就业和升学情况</a:t>
            </a:r>
          </a:p>
        </c:rich>
      </c:tx>
      <c:layout/>
      <c:overlay val="0"/>
      <c:spPr>
        <a:noFill/>
        <a:ln>
          <a:noFill/>
        </a:ln>
        <a:effectLst/>
      </c:spPr>
    </c:title>
    <c:autoTitleDeleted val="0"/>
    <c:plotArea>
      <c:layout>
        <c:manualLayout>
          <c:layoutTarget val="inner"/>
          <c:xMode val="edge"/>
          <c:yMode val="edge"/>
          <c:x val="0.09349191500735"/>
          <c:y val="0.175066904549509"/>
          <c:w val="0.877108111719898"/>
          <c:h val="0.609812667261374"/>
        </c:manualLayout>
      </c:layout>
      <c:barChart>
        <c:barDir val="col"/>
        <c:grouping val="clustered"/>
        <c:varyColors val="0"/>
        <c:ser>
          <c:idx val="0"/>
          <c:order val="0"/>
          <c:tx>
            <c:strRef>
              <c:f>'[附件5 2020年度中等职业学校编制质量报告相关数据表.xlsx]2、学生发展情况'!$A$3</c:f>
              <c:strCache>
                <c:ptCount val="1"/>
                <c:pt idx="0">
                  <c:v>2018-2019</c:v>
                </c:pt>
              </c:strCache>
            </c:strRef>
          </c:tx>
          <c:spPr>
            <a:blipFill rotWithShape="1">
              <a:blip xmlns:r="http://schemas.openxmlformats.org/officeDocument/2006/relationships" r:embed="rId3"/>
              <a:stretch>
                <a:fillRect/>
              </a:stretch>
            </a:blipFill>
            <a:ln>
              <a:noFill/>
            </a:ln>
            <a:effectLst>
              <a:outerShdw blurRad="76200" dir="18900000" sy="23000" kx="-1200000" algn="bl" rotWithShape="0">
                <a:prstClr val="black">
                  <a:alpha val="20000"/>
                </a:prstClr>
              </a:outerShdw>
            </a:effectLst>
          </c:spPr>
          <c:invertIfNegative val="0"/>
          <c:dLbls>
            <c:delete val="1"/>
          </c:dLbls>
          <c:cat>
            <c:multiLvlStrRef>
              <c:f>'[附件5 2020年度中等职业学校编制质量报告相关数据表.xlsx]2、学生发展情况'!$B$1:$J$2</c:f>
              <c:multiLvlStrCache>
                <c:ptCount val="9"/>
                <c:lvl/>
                <c:lvl>
                  <c:pt idx="0">
                    <c:v>毕业生总数</c:v>
                  </c:pt>
                  <c:pt idx="1">
                    <c:v>就业数（人）</c:v>
                  </c:pt>
                  <c:pt idx="2">
                    <c:v>就业率（%）</c:v>
                  </c:pt>
                  <c:pt idx="3">
                    <c:v>对口就业数（人）</c:v>
                  </c:pt>
                  <c:pt idx="4">
                    <c:v>对口率（%）</c:v>
                  </c:pt>
                  <c:pt idx="5">
                    <c:v>企业对就业毕业生满意人数</c:v>
                  </c:pt>
                  <c:pt idx="6">
                    <c:v>企业满意度（%）</c:v>
                  </c:pt>
                  <c:pt idx="7">
                    <c:v>升学数（人）</c:v>
                  </c:pt>
                  <c:pt idx="8">
                    <c:v>升学率（%）</c:v>
                  </c:pt>
                </c:lvl>
              </c:multiLvlStrCache>
            </c:multiLvlStrRef>
          </c:cat>
          <c:val>
            <c:numRef>
              <c:f>'[附件5 2020年度中等职业学校编制质量报告相关数据表.xlsx]2、学生发展情况'!$B$3:$J$3</c:f>
              <c:numCache>
                <c:formatCode>@</c:formatCode>
                <c:ptCount val="9"/>
                <c:pt idx="0">
                  <c:v>51</c:v>
                </c:pt>
                <c:pt idx="1">
                  <c:v>49</c:v>
                </c:pt>
                <c:pt idx="2">
                  <c:v>96.08</c:v>
                </c:pt>
                <c:pt idx="3">
                  <c:v>47</c:v>
                </c:pt>
                <c:pt idx="4">
                  <c:v>95.92</c:v>
                </c:pt>
                <c:pt idx="5">
                  <c:v>46</c:v>
                </c:pt>
                <c:pt idx="6">
                  <c:v>93.88</c:v>
                </c:pt>
                <c:pt idx="7">
                  <c:v>0</c:v>
                </c:pt>
                <c:pt idx="8">
                  <c:v>0</c:v>
                </c:pt>
              </c:numCache>
            </c:numRef>
          </c:val>
        </c:ser>
        <c:ser>
          <c:idx val="1"/>
          <c:order val="1"/>
          <c:tx>
            <c:strRef>
              <c:f>'[附件5 2020年度中等职业学校编制质量报告相关数据表.xlsx]2、学生发展情况'!$A$4</c:f>
              <c:strCache>
                <c:ptCount val="1"/>
                <c:pt idx="0">
                  <c:v>2019-2020</c:v>
                </c:pt>
              </c:strCache>
            </c:strRef>
          </c:tx>
          <c:spPr>
            <a:blipFill rotWithShape="1">
              <a:blip xmlns:r="http://schemas.openxmlformats.org/officeDocument/2006/relationships" r:embed="rId4"/>
              <a:stretch>
                <a:fillRect/>
              </a:stretch>
            </a:blipFill>
            <a:ln>
              <a:noFill/>
            </a:ln>
            <a:effectLst>
              <a:outerShdw blurRad="76200" dir="18900000" sy="23000" kx="-1200000" algn="bl" rotWithShape="0">
                <a:prstClr val="black">
                  <a:alpha val="20000"/>
                </a:prstClr>
              </a:outerShdw>
            </a:effectLst>
          </c:spPr>
          <c:invertIfNegative val="0"/>
          <c:dLbls>
            <c:delete val="1"/>
          </c:dLbls>
          <c:cat>
            <c:multiLvlStrRef>
              <c:f>'[附件5 2020年度中等职业学校编制质量报告相关数据表.xlsx]2、学生发展情况'!$B$1:$J$2</c:f>
              <c:multiLvlStrCache>
                <c:ptCount val="9"/>
                <c:lvl/>
                <c:lvl>
                  <c:pt idx="0">
                    <c:v>毕业生总数</c:v>
                  </c:pt>
                  <c:pt idx="1">
                    <c:v>就业数（人）</c:v>
                  </c:pt>
                  <c:pt idx="2">
                    <c:v>就业率（%）</c:v>
                  </c:pt>
                  <c:pt idx="3">
                    <c:v>对口就业数（人）</c:v>
                  </c:pt>
                  <c:pt idx="4">
                    <c:v>对口率（%）</c:v>
                  </c:pt>
                  <c:pt idx="5">
                    <c:v>企业对就业毕业生满意人数</c:v>
                  </c:pt>
                  <c:pt idx="6">
                    <c:v>企业满意度（%）</c:v>
                  </c:pt>
                  <c:pt idx="7">
                    <c:v>升学数（人）</c:v>
                  </c:pt>
                  <c:pt idx="8">
                    <c:v>升学率（%）</c:v>
                  </c:pt>
                </c:lvl>
              </c:multiLvlStrCache>
            </c:multiLvlStrRef>
          </c:cat>
          <c:val>
            <c:numRef>
              <c:f>'[附件5 2020年度中等职业学校编制质量报告相关数据表.xlsx]2、学生发展情况'!$B$4:$J$4</c:f>
              <c:numCache>
                <c:formatCode>General</c:formatCode>
                <c:ptCount val="9"/>
                <c:pt idx="0">
                  <c:v>35</c:v>
                </c:pt>
                <c:pt idx="1">
                  <c:v>32</c:v>
                </c:pt>
                <c:pt idx="2">
                  <c:v>91.43</c:v>
                </c:pt>
                <c:pt idx="3">
                  <c:v>28</c:v>
                </c:pt>
                <c:pt idx="4" c:formatCode="0.00_ ">
                  <c:v>87.5</c:v>
                </c:pt>
                <c:pt idx="5">
                  <c:v>30</c:v>
                </c:pt>
                <c:pt idx="6">
                  <c:v>93.75</c:v>
                </c:pt>
                <c:pt idx="7">
                  <c:v>2</c:v>
                </c:pt>
                <c:pt idx="8">
                  <c:v>5.7</c:v>
                </c:pt>
              </c:numCache>
            </c:numRef>
          </c:val>
        </c:ser>
        <c:dLbls>
          <c:showLegendKey val="0"/>
          <c:showVal val="0"/>
          <c:showCatName val="0"/>
          <c:showSerName val="0"/>
          <c:showPercent val="0"/>
          <c:showBubbleSize val="0"/>
        </c:dLbls>
        <c:gapWidth val="168"/>
        <c:overlap val="-10"/>
        <c:axId val="416882403"/>
        <c:axId val="656824058"/>
      </c:barChart>
      <c:catAx>
        <c:axId val="416882403"/>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56824058"/>
        <c:crosses val="autoZero"/>
        <c:auto val="1"/>
        <c:lblAlgn val="ctr"/>
        <c:lblOffset val="100"/>
        <c:noMultiLvlLbl val="0"/>
      </c:catAx>
      <c:valAx>
        <c:axId val="656824058"/>
        <c:scaling>
          <c:orientation val="minMax"/>
        </c:scaling>
        <c:delete val="0"/>
        <c:axPos val="l"/>
        <c:majorGridlines>
          <c:spPr>
            <a:ln w="9525" cap="flat" cmpd="sng" algn="ctr">
              <a:solidFill>
                <a:schemeClr val="tx1">
                  <a:lumMod val="15000"/>
                  <a:lumOff val="85000"/>
                </a:schemeClr>
              </a:solidFill>
              <a:round/>
            </a:ln>
            <a:effectLst/>
          </c:spPr>
        </c:majorGridlines>
        <c:numFmt formatCode="@"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416882403"/>
        <c:crosses val="autoZero"/>
        <c:crossBetween val="between"/>
      </c:valAx>
      <c:dTable>
        <c:showHorzBorder val="1"/>
        <c:showVertBorder val="1"/>
        <c:showOutline val="1"/>
        <c:showKeys val="1"/>
        <c:spPr>
          <a:noFill/>
          <a:ln w="9525" cap="flat" cmpd="sng" algn="ctr">
            <a:solidFill>
              <a:sysClr val="windowText" lastClr="000000"/>
            </a:solidFill>
            <a:round/>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Table>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a:outerShdw blurRad="63500" dist="37357" dir="2700000" sx="0" sy="0" rotWithShape="0">
        <a:scrgbClr r="0" g="0" b="0"/>
      </a:outerShdw>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Company>Kingsoft</Company>
  <Pages>33</Pages>
  <Words>2482</Words>
  <Characters>14150</Characters>
  <Lines>0</Lines>
  <Paragraphs>0</Paragraphs>
  <TotalTime>15</TotalTime>
  <ScaleCrop>false</ScaleCrop>
  <LinksUpToDate>false</LinksUpToDate>
  <CharactersWithSpaces>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2018-03-12T02:54:00Z</dcterms:created>
  <dc:creator>zhaoxinlei</dc:creator>
  <cp:lastModifiedBy>感恩的心</cp:lastModifiedBy>
  <cp:lastPrinted>2020-01-08T04:18:00Z</cp:lastPrinted>
  <dcterms:modified xsi:type="dcterms:W3CDTF">2021-10-13T12:33:21Z</dcterms:modified>
  <dc:title>********学校</dc:title>
  <cp:revision>540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723403D396D54A53B507B3AC08E8B852</vt:lpwstr>
  </property>
</Properties>
</file>